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73" w:type="dxa"/>
        <w:tblBorders>
          <w:top w:val="single" w:sz="4" w:space="0" w:color="31728F"/>
          <w:left w:val="single" w:sz="4" w:space="0" w:color="31728F"/>
          <w:bottom w:val="single" w:sz="4" w:space="0" w:color="31728F"/>
          <w:right w:val="single" w:sz="4" w:space="0" w:color="31728F"/>
          <w:insideH w:val="single" w:sz="4" w:space="0" w:color="31728F"/>
          <w:insideV w:val="single" w:sz="4" w:space="0" w:color="31728F"/>
        </w:tblBorders>
        <w:tblLayout w:type="fixed"/>
        <w:tblLook w:val="04A0" w:firstRow="1" w:lastRow="0" w:firstColumn="1" w:lastColumn="0" w:noHBand="0" w:noVBand="1"/>
      </w:tblPr>
      <w:tblGrid>
        <w:gridCol w:w="553"/>
        <w:gridCol w:w="3818"/>
        <w:gridCol w:w="172"/>
        <w:gridCol w:w="4318"/>
        <w:gridCol w:w="12"/>
      </w:tblGrid>
      <w:tr w:rsidR="007D71A1" w:rsidRPr="00F95DB3" w14:paraId="304D6B42" w14:textId="77777777" w:rsidTr="07BFE459">
        <w:tc>
          <w:tcPr>
            <w:tcW w:w="4543" w:type="dxa"/>
            <w:gridSpan w:val="3"/>
            <w:shd w:val="clear" w:color="auto" w:fill="31728F"/>
          </w:tcPr>
          <w:p w14:paraId="6396C93C" w14:textId="026D507F" w:rsidR="00561161" w:rsidRPr="00CC62D4" w:rsidRDefault="00B46670" w:rsidP="002D49FF">
            <w:pPr>
              <w:rPr>
                <w:rFonts w:ascii="Aptos" w:hAnsi="Aptos"/>
                <w:b/>
                <w:bCs/>
                <w:color w:val="31728F"/>
                <w:sz w:val="21"/>
                <w:szCs w:val="21"/>
                <w:lang w:val="en-GB"/>
              </w:rPr>
            </w:pPr>
            <w:bookmarkStart w:id="0" w:name="_Hlk26803266"/>
            <w:r w:rsidRPr="00CC62D4">
              <w:rPr>
                <w:rFonts w:ascii="Aptos" w:hAnsi="Aptos" w:cs="Tahoma"/>
                <w:b/>
                <w:bCs/>
                <w:color w:val="FFFFFF" w:themeColor="background1"/>
                <w:sz w:val="21"/>
                <w:szCs w:val="21"/>
              </w:rPr>
              <w:t xml:space="preserve">Clarifications Rev </w:t>
            </w:r>
            <w:r w:rsidR="00CC62D4" w:rsidRPr="00CC62D4">
              <w:rPr>
                <w:rFonts w:ascii="Aptos" w:hAnsi="Aptos" w:cs="Tahoma"/>
                <w:b/>
                <w:bCs/>
                <w:color w:val="FFFFFF" w:themeColor="background1"/>
                <w:sz w:val="21"/>
                <w:szCs w:val="21"/>
              </w:rPr>
              <w:t>&lt;#</w:t>
            </w:r>
            <w:r w:rsidR="00C336B4">
              <w:rPr>
                <w:rFonts w:ascii="Aptos" w:hAnsi="Aptos" w:cs="Tahoma"/>
                <w:b/>
                <w:bCs/>
                <w:color w:val="FFFFFF" w:themeColor="background1"/>
                <w:sz w:val="21"/>
                <w:szCs w:val="21"/>
              </w:rPr>
              <w:t>01</w:t>
            </w:r>
            <w:r w:rsidR="00CC62D4" w:rsidRPr="00CC62D4">
              <w:rPr>
                <w:rFonts w:ascii="Aptos" w:hAnsi="Aptos" w:cs="Tahoma"/>
                <w:b/>
                <w:bCs/>
                <w:color w:val="FFFFFF" w:themeColor="background1"/>
                <w:sz w:val="21"/>
                <w:szCs w:val="21"/>
              </w:rPr>
              <w:t>&gt;</w:t>
            </w:r>
            <w:r w:rsidR="00D53788" w:rsidRPr="00CC62D4">
              <w:rPr>
                <w:rFonts w:ascii="Aptos" w:hAnsi="Aptos" w:cs="Tahoma"/>
                <w:b/>
                <w:bCs/>
                <w:color w:val="FFFFFF" w:themeColor="background1"/>
                <w:sz w:val="21"/>
                <w:szCs w:val="21"/>
              </w:rPr>
              <w:t xml:space="preserve"> –</w:t>
            </w:r>
            <w:r w:rsidR="00CC62D4" w:rsidRPr="00CC62D4">
              <w:rPr>
                <w:rFonts w:ascii="Aptos" w:hAnsi="Aptos" w:cs="Tahoma"/>
                <w:b/>
                <w:bCs/>
                <w:color w:val="FFFFFF" w:themeColor="background1"/>
                <w:sz w:val="21"/>
                <w:szCs w:val="21"/>
              </w:rPr>
              <w:t>&lt;</w:t>
            </w:r>
            <w:r w:rsidR="00D53788" w:rsidRPr="00CC62D4">
              <w:rPr>
                <w:rFonts w:ascii="Aptos" w:hAnsi="Aptos" w:cs="Tahoma"/>
                <w:b/>
                <w:bCs/>
                <w:color w:val="FFFFFF" w:themeColor="background1"/>
                <w:sz w:val="21"/>
                <w:szCs w:val="21"/>
              </w:rPr>
              <w:t xml:space="preserve"> </w:t>
            </w:r>
            <w:r w:rsidR="00B87FB6">
              <w:rPr>
                <w:rFonts w:ascii="Aptos" w:hAnsi="Aptos" w:cs="Tahoma"/>
                <w:b/>
                <w:bCs/>
                <w:color w:val="FFFFFF" w:themeColor="background1"/>
                <w:sz w:val="21"/>
                <w:szCs w:val="21"/>
              </w:rPr>
              <w:t>29/06/2026</w:t>
            </w:r>
            <w:r w:rsidR="00CC62D4" w:rsidRPr="00CC62D4">
              <w:rPr>
                <w:rFonts w:ascii="Aptos" w:hAnsi="Aptos" w:cs="Tahoma"/>
                <w:b/>
                <w:bCs/>
                <w:color w:val="FFFFFF" w:themeColor="background1"/>
                <w:sz w:val="21"/>
                <w:szCs w:val="21"/>
              </w:rPr>
              <w:t>&gt;</w:t>
            </w:r>
          </w:p>
        </w:tc>
        <w:tc>
          <w:tcPr>
            <w:tcW w:w="4330" w:type="dxa"/>
            <w:gridSpan w:val="2"/>
            <w:shd w:val="clear" w:color="auto" w:fill="31728F"/>
          </w:tcPr>
          <w:p w14:paraId="2AB30181" w14:textId="7B2B3568" w:rsidR="00561161" w:rsidRPr="00CC62D4" w:rsidRDefault="004C5158" w:rsidP="002D49FF">
            <w:pPr>
              <w:rPr>
                <w:rFonts w:ascii="Brother 1816 Light" w:hAnsi="Brother 1816 Light"/>
                <w:b/>
                <w:bCs/>
                <w:color w:val="31728F"/>
                <w:sz w:val="21"/>
                <w:szCs w:val="21"/>
                <w:lang w:val="en-GB"/>
              </w:rPr>
            </w:pPr>
            <w:r w:rsidRPr="00CC62D4">
              <w:rPr>
                <w:rFonts w:ascii="Brother 1816 Light" w:hAnsi="Brother 1816 Light" w:cs="Tahoma"/>
                <w:b/>
                <w:bCs/>
                <w:color w:val="31728F"/>
                <w:sz w:val="21"/>
                <w:szCs w:val="21"/>
              </w:rPr>
              <w:t>Response</w:t>
            </w:r>
          </w:p>
        </w:tc>
      </w:tr>
      <w:tr w:rsidR="007D71A1" w:rsidRPr="00CC62D4" w14:paraId="3D4C81E0" w14:textId="77777777" w:rsidTr="07BFE459">
        <w:trPr>
          <w:gridAfter w:val="1"/>
          <w:wAfter w:w="12" w:type="dxa"/>
        </w:trPr>
        <w:tc>
          <w:tcPr>
            <w:tcW w:w="553" w:type="dxa"/>
          </w:tcPr>
          <w:p w14:paraId="2518A210" w14:textId="42B2C9B0" w:rsidR="002D49FF" w:rsidRPr="00F95DB3" w:rsidRDefault="00CC62D4" w:rsidP="002D49FF">
            <w:pPr>
              <w:rPr>
                <w:rFonts w:ascii="Brother 1816 Light" w:hAnsi="Brother 1816 Light"/>
                <w:b/>
                <w:bCs/>
                <w:color w:val="31728F"/>
                <w:sz w:val="21"/>
                <w:szCs w:val="21"/>
                <w:lang w:val="en-GB"/>
              </w:rPr>
            </w:pPr>
            <w:r>
              <w:rPr>
                <w:rFonts w:ascii="Brother 1816 Light" w:hAnsi="Brother 1816 Light"/>
                <w:b/>
                <w:bCs/>
                <w:color w:val="31728F"/>
                <w:sz w:val="21"/>
                <w:szCs w:val="21"/>
                <w:lang w:val="en-GB"/>
              </w:rPr>
              <w:t>#</w:t>
            </w:r>
          </w:p>
        </w:tc>
        <w:tc>
          <w:tcPr>
            <w:tcW w:w="3818" w:type="dxa"/>
          </w:tcPr>
          <w:p w14:paraId="3D0E068C" w14:textId="4791C1DB" w:rsidR="00BA7C80" w:rsidRPr="00CC62D4" w:rsidRDefault="00CC62D4" w:rsidP="00B46670">
            <w:pPr>
              <w:spacing w:line="240" w:lineRule="auto"/>
              <w:rPr>
                <w:rFonts w:ascii="Aptos" w:hAnsi="Aptos"/>
                <w:b/>
                <w:bCs/>
                <w:color w:val="31728F"/>
                <w:sz w:val="21"/>
                <w:szCs w:val="21"/>
                <w:shd w:val="clear" w:color="auto" w:fill="FFFFFF"/>
              </w:rPr>
            </w:pPr>
            <w:r w:rsidRPr="00CC62D4">
              <w:rPr>
                <w:rFonts w:ascii="Aptos" w:hAnsi="Aptos"/>
                <w:b/>
                <w:bCs/>
                <w:color w:val="31728F"/>
                <w:sz w:val="21"/>
                <w:szCs w:val="21"/>
                <w:shd w:val="clear" w:color="auto" w:fill="FFFFFF"/>
              </w:rPr>
              <w:t>Clarification</w:t>
            </w:r>
          </w:p>
        </w:tc>
        <w:tc>
          <w:tcPr>
            <w:tcW w:w="4490" w:type="dxa"/>
            <w:gridSpan w:val="2"/>
          </w:tcPr>
          <w:p w14:paraId="5E1DEE51" w14:textId="19C5574C" w:rsidR="00BE5117" w:rsidRPr="00CC62D4" w:rsidRDefault="00CC62D4" w:rsidP="00CC62D4">
            <w:pPr>
              <w:spacing w:line="240" w:lineRule="auto"/>
              <w:jc w:val="both"/>
              <w:rPr>
                <w:rFonts w:ascii="Aptos" w:hAnsi="Aptos" w:cs="Tahoma"/>
                <w:b/>
                <w:bCs/>
                <w:color w:val="31728F"/>
                <w:sz w:val="21"/>
                <w:szCs w:val="21"/>
              </w:rPr>
            </w:pPr>
            <w:r w:rsidRPr="00CC62D4">
              <w:rPr>
                <w:rFonts w:ascii="Aptos" w:hAnsi="Aptos" w:cs="Tahoma"/>
                <w:b/>
                <w:bCs/>
                <w:color w:val="31728F"/>
                <w:sz w:val="21"/>
                <w:szCs w:val="21"/>
              </w:rPr>
              <w:t>Response</w:t>
            </w:r>
          </w:p>
        </w:tc>
      </w:tr>
      <w:tr w:rsidR="007B086D" w:rsidRPr="007F4174" w14:paraId="2326D29D" w14:textId="77777777" w:rsidTr="07BFE459">
        <w:trPr>
          <w:gridAfter w:val="1"/>
          <w:wAfter w:w="12" w:type="dxa"/>
        </w:trPr>
        <w:tc>
          <w:tcPr>
            <w:tcW w:w="553" w:type="dxa"/>
          </w:tcPr>
          <w:p w14:paraId="7106BF27" w14:textId="04B09918" w:rsidR="007B086D" w:rsidRPr="007F4174" w:rsidRDefault="00CC62D4" w:rsidP="00094F5B">
            <w:pPr>
              <w:rPr>
                <w:rFonts w:ascii="Brother 1816 Light" w:hAnsi="Brother 1816 Light"/>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lang w:val="en-GB"/>
              </w:rPr>
              <w:t>1.</w:t>
            </w:r>
          </w:p>
        </w:tc>
        <w:tc>
          <w:tcPr>
            <w:tcW w:w="3818" w:type="dxa"/>
          </w:tcPr>
          <w:p w14:paraId="2AE02F89" w14:textId="0ACA7065" w:rsidR="007B086D" w:rsidRPr="007F4174" w:rsidRDefault="003D481D" w:rsidP="00094F5B">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What is the deadline for tender submission</w:t>
            </w:r>
            <w:r w:rsidR="00B56995" w:rsidRPr="007F4174">
              <w:rPr>
                <w:rFonts w:cstheme="minorHAnsi"/>
                <w:color w:val="2F5496" w:themeColor="accent1" w:themeShade="BF"/>
                <w:sz w:val="21"/>
                <w:szCs w:val="21"/>
                <w:shd w:val="clear" w:color="auto" w:fill="FFFFFF"/>
              </w:rPr>
              <w:t>s?</w:t>
            </w:r>
          </w:p>
        </w:tc>
        <w:tc>
          <w:tcPr>
            <w:tcW w:w="4490" w:type="dxa"/>
            <w:gridSpan w:val="2"/>
          </w:tcPr>
          <w:p w14:paraId="758C51B0" w14:textId="0A3FA497" w:rsidR="007B086D" w:rsidRPr="007F4174" w:rsidRDefault="00B56995" w:rsidP="007B086D">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17:00 hours on Tuesday, 14 July 2026</w:t>
            </w:r>
          </w:p>
        </w:tc>
      </w:tr>
      <w:tr w:rsidR="00CC62D4" w:rsidRPr="007F4174" w14:paraId="7FA42559" w14:textId="77777777" w:rsidTr="07BFE459">
        <w:trPr>
          <w:gridAfter w:val="1"/>
          <w:wAfter w:w="12" w:type="dxa"/>
        </w:trPr>
        <w:tc>
          <w:tcPr>
            <w:tcW w:w="553" w:type="dxa"/>
          </w:tcPr>
          <w:p w14:paraId="7735EA9F" w14:textId="3ACAB9A7" w:rsidR="00CC62D4" w:rsidRPr="007F4174" w:rsidRDefault="00CC62D4"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2.</w:t>
            </w:r>
          </w:p>
        </w:tc>
        <w:tc>
          <w:tcPr>
            <w:tcW w:w="3818" w:type="dxa"/>
          </w:tcPr>
          <w:p w14:paraId="702EB630" w14:textId="77777777" w:rsidR="00FC59EF" w:rsidRPr="007F4174" w:rsidRDefault="00FC59EF" w:rsidP="00FC59E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This tenders EU Journal Contract Notice (TED 8403037) Section 2.1.5 Terms of procurement, under Terms of submission, states "The tenderer must submit tenders for all lots." </w:t>
            </w:r>
          </w:p>
          <w:p w14:paraId="4B1034D1" w14:textId="77777777" w:rsidR="00FC59EF" w:rsidRPr="007F4174" w:rsidRDefault="00FC59EF" w:rsidP="00FC59E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This conflicts directly with the RFT, which throughout treats the two lots as separate single-vendor framework agreements, one per lot: Section 2.1 Type of Frameworks states "This competition relates to the establishment of two single-party Frameworks, each with one economic operator for one of the lots on offer (see 2.2 below). Tenderers may bid for more than one lot.”; Section 5.1 Lot 1-Specific Award Criteria and Section 5.2 Lot 2-Specific Award Criteria (pp.20, 22) set lot-specific award criteria evaluated and awarded per lot; and Section 3.1 Scope of Requirement under the Framework Agreements – Initial Contract (p.13) expressly contemplates "different tenders winning each lot."</w:t>
            </w:r>
          </w:p>
          <w:p w14:paraId="47C706A0" w14:textId="77777777" w:rsidR="00FC59EF" w:rsidRPr="007F4174" w:rsidRDefault="00FC59EF" w:rsidP="00FC59E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Please confirm or clarify:</w:t>
            </w:r>
          </w:p>
          <w:p w14:paraId="3955F3A7" w14:textId="77777777" w:rsidR="00FC59EF" w:rsidRPr="007F4174" w:rsidRDefault="00FC59EF" w:rsidP="00FC59E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(a) that the EU Contract notice (TED 8403037) is invalid with regard to the rule that the tenderer must submit tenders for all lots</w:t>
            </w:r>
          </w:p>
          <w:p w14:paraId="31712B1B" w14:textId="77777777" w:rsidR="00FC59EF" w:rsidRPr="007F4174" w:rsidRDefault="00FC59EF" w:rsidP="00FC59E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(b) that a tenderer may submit a tender for a single lot (e.g. Lot 1 or Lot 2 only), and that such a tender will not be rejected as non-compliant for covering only one lot; and</w:t>
            </w:r>
          </w:p>
          <w:p w14:paraId="6A76E060" w14:textId="5D8F71B0" w:rsidR="00CC62D4" w:rsidRPr="007F4174" w:rsidRDefault="00FC59EF" w:rsidP="00FC59E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(c) that each lot is evaluated and awarded independently against its own published award criteria (Section 5.1, Section 5.2), and that a tender for a single lot is neither advantaged nor disadvantaged by whether the tenderer also submits for the other lot.</w:t>
            </w:r>
          </w:p>
        </w:tc>
        <w:tc>
          <w:tcPr>
            <w:tcW w:w="4490" w:type="dxa"/>
            <w:gridSpan w:val="2"/>
          </w:tcPr>
          <w:p w14:paraId="6D8AC493" w14:textId="79E980F8" w:rsidR="00CC62D4" w:rsidRPr="007F4174" w:rsidRDefault="003D481D" w:rsidP="007B086D">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The RFT is correct which means that a tenderer could apply for either or both Lots.</w:t>
            </w:r>
          </w:p>
        </w:tc>
      </w:tr>
      <w:tr w:rsidR="007B086D" w:rsidRPr="007F4174" w14:paraId="72E56CBE" w14:textId="77777777" w:rsidTr="07BFE459">
        <w:trPr>
          <w:gridAfter w:val="1"/>
          <w:wAfter w:w="12" w:type="dxa"/>
        </w:trPr>
        <w:tc>
          <w:tcPr>
            <w:tcW w:w="553" w:type="dxa"/>
          </w:tcPr>
          <w:p w14:paraId="69E8AF06" w14:textId="49704F09" w:rsidR="007B086D" w:rsidRPr="007F4174" w:rsidRDefault="00CC62D4"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3.</w:t>
            </w:r>
          </w:p>
        </w:tc>
        <w:tc>
          <w:tcPr>
            <w:tcW w:w="3818" w:type="dxa"/>
          </w:tcPr>
          <w:p w14:paraId="0DDCD69A" w14:textId="7DFFFE24" w:rsidR="00F03B35" w:rsidRPr="007F4174" w:rsidRDefault="00F03B35" w:rsidP="00F03B3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This question is in reference </w:t>
            </w:r>
            <w:r w:rsidRPr="007F4174">
              <w:rPr>
                <w:rFonts w:cstheme="minorHAnsi"/>
                <w:color w:val="2F5496" w:themeColor="accent1" w:themeShade="BF"/>
                <w:sz w:val="21"/>
                <w:szCs w:val="21"/>
                <w:shd w:val="clear" w:color="auto" w:fill="FFFFFF"/>
              </w:rPr>
              <w:t>to:</w:t>
            </w:r>
            <w:r w:rsidRPr="007F4174">
              <w:rPr>
                <w:rFonts w:cstheme="minorHAnsi"/>
                <w:color w:val="2F5496" w:themeColor="accent1" w:themeShade="BF"/>
                <w:sz w:val="21"/>
                <w:szCs w:val="21"/>
                <w:shd w:val="clear" w:color="auto" w:fill="FFFFFF"/>
              </w:rPr>
              <w:t xml:space="preserve"> RFT Section 4.3.B (p.18); Lot 1 TRD reference-contract form (Customer Name, Contact Name, Contact Number required for each of 3 contracts).</w:t>
            </w:r>
          </w:p>
          <w:p w14:paraId="6C219035" w14:textId="77777777" w:rsidR="00F03B35" w:rsidRPr="007F4174" w:rsidRDefault="00F03B35" w:rsidP="00F03B35">
            <w:pPr>
              <w:spacing w:line="240" w:lineRule="auto"/>
              <w:rPr>
                <w:rFonts w:cstheme="minorHAnsi"/>
                <w:color w:val="2F5496" w:themeColor="accent1" w:themeShade="BF"/>
                <w:sz w:val="21"/>
                <w:szCs w:val="21"/>
                <w:shd w:val="clear" w:color="auto" w:fill="FFFFFF"/>
              </w:rPr>
            </w:pPr>
          </w:p>
          <w:p w14:paraId="5EA63F48" w14:textId="5C320D23" w:rsidR="00F03B35" w:rsidRPr="007F4174" w:rsidRDefault="00F03B35" w:rsidP="00F03B3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lastRenderedPageBreak/>
              <w:t xml:space="preserve">Section 4.3.B – Technical Capacity Requirements (Previous Contracts/Experience) </w:t>
            </w:r>
            <w:proofErr w:type="gramStart"/>
            <w:r w:rsidRPr="007F4174">
              <w:rPr>
                <w:rFonts w:cstheme="minorHAnsi"/>
                <w:color w:val="2F5496" w:themeColor="accent1" w:themeShade="BF"/>
                <w:sz w:val="21"/>
                <w:szCs w:val="21"/>
                <w:shd w:val="clear" w:color="auto" w:fill="FFFFFF"/>
              </w:rPr>
              <w:t>states :</w:t>
            </w:r>
            <w:proofErr w:type="gramEnd"/>
            <w:r w:rsidRPr="007F4174">
              <w:rPr>
                <w:rFonts w:cstheme="minorHAnsi"/>
                <w:color w:val="2F5496" w:themeColor="accent1" w:themeShade="BF"/>
                <w:sz w:val="21"/>
                <w:szCs w:val="21"/>
                <w:shd w:val="clear" w:color="auto" w:fill="FFFFFF"/>
              </w:rPr>
              <w:t xml:space="preserve"> "Tenderers must provide details of three (3) previous contracts demonstrating the satisfactory delivery of similar services at similar scales." For Lot 1 the contracts "must refer to the support, maintenance and development of similar national level critical .NET systems that generate substantial income for the owners. Tenderers should note that the MapRoad Roadworks Licensing System (MRL) in Lot 1 is a critical, income-generating system that is widely used by utility providers and accordingly the previous contracts cited for Lot 1 must refer to the support, maintenance and development of similar national level critical .NET systems that generate substantial income for the owners."</w:t>
            </w:r>
          </w:p>
          <w:p w14:paraId="2AD69B14" w14:textId="77777777" w:rsidR="00F03B35" w:rsidRPr="007F4174" w:rsidRDefault="00F03B35" w:rsidP="00F03B35">
            <w:pPr>
              <w:spacing w:line="240" w:lineRule="auto"/>
              <w:rPr>
                <w:rFonts w:cstheme="minorHAnsi"/>
                <w:color w:val="2F5496" w:themeColor="accent1" w:themeShade="BF"/>
                <w:sz w:val="21"/>
                <w:szCs w:val="21"/>
                <w:shd w:val="clear" w:color="auto" w:fill="FFFFFF"/>
              </w:rPr>
            </w:pPr>
          </w:p>
          <w:p w14:paraId="060813A7" w14:textId="5C2331C7" w:rsidR="00F03B35" w:rsidRPr="007F4174" w:rsidRDefault="00F03B35" w:rsidP="00F03B3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This section then states "the LGMA does not act as a referee for its own tender competitions." This could be read as preventing existing suppliers to LGMA from using any matching contracts that demonstrate all the </w:t>
            </w:r>
            <w:r w:rsidR="001374F9" w:rsidRPr="007F4174">
              <w:rPr>
                <w:rFonts w:cstheme="minorHAnsi"/>
                <w:color w:val="2F5496" w:themeColor="accent1" w:themeShade="BF"/>
                <w:sz w:val="21"/>
                <w:szCs w:val="21"/>
                <w:shd w:val="clear" w:color="auto" w:fill="FFFFFF"/>
              </w:rPr>
              <w:t>capabilities</w:t>
            </w:r>
            <w:r w:rsidRPr="007F4174">
              <w:rPr>
                <w:rFonts w:cstheme="minorHAnsi"/>
                <w:color w:val="2F5496" w:themeColor="accent1" w:themeShade="BF"/>
                <w:sz w:val="21"/>
                <w:szCs w:val="21"/>
                <w:shd w:val="clear" w:color="auto" w:fill="FFFFFF"/>
              </w:rPr>
              <w:t xml:space="preserve"> that have been specifically requested?</w:t>
            </w:r>
          </w:p>
          <w:p w14:paraId="7EE6A8C8" w14:textId="77777777" w:rsidR="00F03B35" w:rsidRPr="007F4174" w:rsidRDefault="00F03B35" w:rsidP="00F03B35">
            <w:pPr>
              <w:spacing w:line="240" w:lineRule="auto"/>
              <w:rPr>
                <w:rFonts w:cstheme="minorHAnsi"/>
                <w:color w:val="2F5496" w:themeColor="accent1" w:themeShade="BF"/>
                <w:sz w:val="21"/>
                <w:szCs w:val="21"/>
                <w:shd w:val="clear" w:color="auto" w:fill="FFFFFF"/>
              </w:rPr>
            </w:pPr>
          </w:p>
          <w:p w14:paraId="1E8F6381" w14:textId="71E60CEB" w:rsidR="007B086D" w:rsidRPr="007F4174" w:rsidRDefault="00F03B35" w:rsidP="00F03B3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Please confirm whether contracts delivered for the LGMA may be cited as reference contracts, and, if not, how relevant experience gained in delivering services to the LGMA should be evidenced under the selection criteria (for example, by the LGMA verifying such experience from its own records, or by accepting a certificate of satisfactory execution?).</w:t>
            </w:r>
          </w:p>
        </w:tc>
        <w:tc>
          <w:tcPr>
            <w:tcW w:w="4490" w:type="dxa"/>
            <w:gridSpan w:val="2"/>
          </w:tcPr>
          <w:p w14:paraId="7DE91C08" w14:textId="410BD9F6" w:rsidR="007B086D" w:rsidRPr="007F4174" w:rsidRDefault="001374F9"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color w:val="2F5496" w:themeColor="accent1" w:themeShade="BF"/>
                <w:kern w:val="2"/>
                <w:sz w:val="21"/>
                <w:szCs w:val="21"/>
                <w:shd w:val="clear" w:color="auto" w:fill="FFFFFF"/>
              </w:rPr>
              <w:lastRenderedPageBreak/>
              <w:t>“</w:t>
            </w:r>
            <w:r w:rsidR="000016A5" w:rsidRPr="007F4174">
              <w:rPr>
                <w:rFonts w:ascii="Brother 1816 Light" w:eastAsia="Times New Roman" w:hAnsi="Brother 1816 Light" w:cs="Times New Roman"/>
                <w:color w:val="2F5496" w:themeColor="accent1" w:themeShade="BF"/>
                <w:kern w:val="2"/>
                <w:sz w:val="21"/>
                <w:szCs w:val="21"/>
                <w:shd w:val="clear" w:color="auto" w:fill="FFFFFF"/>
              </w:rPr>
              <w:t>This could be read as preventing existing suppliers to LGMA from using any matching contracts that demonstrate all the capab</w:t>
            </w:r>
            <w:r w:rsidR="000016A5" w:rsidRPr="007F4174">
              <w:rPr>
                <w:rFonts w:ascii="Brother 1816 Light" w:eastAsia="Times New Roman" w:hAnsi="Brother 1816 Light" w:cs="Times New Roman"/>
                <w:color w:val="2F5496" w:themeColor="accent1" w:themeShade="BF"/>
                <w:kern w:val="2"/>
                <w:sz w:val="21"/>
                <w:szCs w:val="21"/>
                <w:shd w:val="clear" w:color="auto" w:fill="FFFFFF"/>
              </w:rPr>
              <w:t>i</w:t>
            </w:r>
            <w:r w:rsidR="000016A5" w:rsidRPr="007F4174">
              <w:rPr>
                <w:rFonts w:ascii="Brother 1816 Light" w:eastAsia="Times New Roman" w:hAnsi="Brother 1816 Light" w:cs="Times New Roman"/>
                <w:color w:val="2F5496" w:themeColor="accent1" w:themeShade="BF"/>
                <w:kern w:val="2"/>
                <w:sz w:val="21"/>
                <w:szCs w:val="21"/>
                <w:shd w:val="clear" w:color="auto" w:fill="FFFFFF"/>
              </w:rPr>
              <w:t>lities that have been specifically requested?</w:t>
            </w:r>
            <w:r w:rsidRPr="007F4174">
              <w:rPr>
                <w:rFonts w:ascii="Brother 1816 Light" w:eastAsia="Times New Roman" w:hAnsi="Brother 1816 Light" w:cs="Times New Roman"/>
                <w:color w:val="2F5496" w:themeColor="accent1" w:themeShade="BF"/>
                <w:kern w:val="2"/>
                <w:sz w:val="21"/>
                <w:szCs w:val="21"/>
                <w:shd w:val="clear" w:color="auto" w:fill="FFFFFF"/>
              </w:rPr>
              <w:t>”</w:t>
            </w:r>
            <w:r w:rsidR="009A2933" w:rsidRPr="007F4174">
              <w:rPr>
                <w:rFonts w:ascii="Brother 1816 Light" w:eastAsia="Times New Roman" w:hAnsi="Brother 1816 Light" w:cs="Times New Roman"/>
                <w:color w:val="2F5496" w:themeColor="accent1" w:themeShade="BF"/>
                <w:kern w:val="2"/>
                <w:sz w:val="21"/>
                <w:szCs w:val="21"/>
                <w:shd w:val="clear" w:color="auto" w:fill="FFFFFF"/>
              </w:rPr>
              <w:t>-</w:t>
            </w:r>
            <w:r w:rsidR="009A2933"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w:t>
            </w:r>
            <w:r w:rsidR="000016A5"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Not necessarily, the policy only prevents LGMA staff from acting as referees for LGMA tenders, so if they can find a </w:t>
            </w:r>
            <w:r w:rsidR="000016A5" w:rsidRPr="007F4174">
              <w:rPr>
                <w:rFonts w:ascii="Brother 1816 Light" w:eastAsia="Times New Roman" w:hAnsi="Brother 1816 Light" w:cs="Times New Roman"/>
                <w:b/>
                <w:bCs/>
                <w:color w:val="2F5496" w:themeColor="accent1" w:themeShade="BF"/>
                <w:kern w:val="2"/>
                <w:sz w:val="21"/>
                <w:szCs w:val="21"/>
                <w:shd w:val="clear" w:color="auto" w:fill="FFFFFF"/>
              </w:rPr>
              <w:lastRenderedPageBreak/>
              <w:t>referee from another organisation that used the contract then that's fine.</w:t>
            </w:r>
          </w:p>
        </w:tc>
      </w:tr>
      <w:tr w:rsidR="00CC62D4" w:rsidRPr="007F4174" w14:paraId="47E52903" w14:textId="77777777" w:rsidTr="07BFE459">
        <w:trPr>
          <w:gridAfter w:val="1"/>
          <w:wAfter w:w="12" w:type="dxa"/>
        </w:trPr>
        <w:tc>
          <w:tcPr>
            <w:tcW w:w="553" w:type="dxa"/>
          </w:tcPr>
          <w:p w14:paraId="11EF88F4" w14:textId="46D46179" w:rsidR="00CC62D4" w:rsidRPr="007F4174" w:rsidRDefault="00D64C3D"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lastRenderedPageBreak/>
              <w:t>4.</w:t>
            </w:r>
          </w:p>
        </w:tc>
        <w:tc>
          <w:tcPr>
            <w:tcW w:w="3818" w:type="dxa"/>
          </w:tcPr>
          <w:p w14:paraId="6BC8E878" w14:textId="77777777" w:rsidR="005C5BBB" w:rsidRPr="007F4174" w:rsidRDefault="005C5BBB" w:rsidP="005C5BBB">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Skills source for the Account Manager role</w:t>
            </w:r>
          </w:p>
          <w:p w14:paraId="158B4260" w14:textId="77777777" w:rsidR="005C5BBB" w:rsidRPr="007F4174" w:rsidRDefault="005C5BBB" w:rsidP="005C5BBB">
            <w:pPr>
              <w:spacing w:line="240" w:lineRule="auto"/>
              <w:rPr>
                <w:rFonts w:cstheme="minorHAnsi"/>
                <w:color w:val="2F5496" w:themeColor="accent1" w:themeShade="BF"/>
                <w:sz w:val="21"/>
                <w:szCs w:val="21"/>
                <w:shd w:val="clear" w:color="auto" w:fill="FFFFFF"/>
              </w:rPr>
            </w:pPr>
          </w:p>
          <w:p w14:paraId="1A7E1D3E" w14:textId="77777777" w:rsidR="005C5BBB" w:rsidRPr="007F4174" w:rsidRDefault="005C5BBB" w:rsidP="005C5BBB">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Reference: Appendix 2, first table (role “Account Manager”, 10 yrs, 1 resource) and second table (items A–N).</w:t>
            </w:r>
          </w:p>
          <w:p w14:paraId="7334881F" w14:textId="77777777" w:rsidR="005C5BBB" w:rsidRPr="007F4174" w:rsidRDefault="005C5BBB" w:rsidP="005C5BBB">
            <w:pPr>
              <w:spacing w:line="240" w:lineRule="auto"/>
              <w:rPr>
                <w:rFonts w:cstheme="minorHAnsi"/>
                <w:color w:val="2F5496" w:themeColor="accent1" w:themeShade="BF"/>
                <w:sz w:val="21"/>
                <w:szCs w:val="21"/>
                <w:shd w:val="clear" w:color="auto" w:fill="FFFFFF"/>
              </w:rPr>
            </w:pPr>
          </w:p>
          <w:p w14:paraId="2D65B6AF" w14:textId="4156FABB" w:rsidR="00CC62D4" w:rsidRPr="007F4174" w:rsidRDefault="005C5BBB" w:rsidP="005C5BBB">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The Account Manager role is listed in the first table but does not appear in the “Roles” column of the second table, so no specific skills/technical expertise are defined for it. Please confirm how </w:t>
            </w:r>
            <w:r w:rsidRPr="007F4174">
              <w:rPr>
                <w:rFonts w:cstheme="minorHAnsi"/>
                <w:color w:val="2F5496" w:themeColor="accent1" w:themeShade="BF"/>
                <w:sz w:val="21"/>
                <w:szCs w:val="21"/>
                <w:shd w:val="clear" w:color="auto" w:fill="FFFFFF"/>
              </w:rPr>
              <w:lastRenderedPageBreak/>
              <w:t>tenderers should evidence the requirements for the Account Manager role under the Personnel and Skills pass/fail criterion and award sub-criterion B.3 — e.g. is it assessed on years of relevant management experience and the Criterion C “Account Management” response, rather than against items A–N?</w:t>
            </w:r>
          </w:p>
        </w:tc>
        <w:tc>
          <w:tcPr>
            <w:tcW w:w="4490" w:type="dxa"/>
            <w:gridSpan w:val="2"/>
          </w:tcPr>
          <w:p w14:paraId="321E1A56" w14:textId="3083CD88" w:rsidR="00CC62D4" w:rsidRPr="007F4174" w:rsidRDefault="005C5BBB"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lastRenderedPageBreak/>
              <w:t>The "Account Manager" is a non-technical role and so does not appear in the Skills table referred to.</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w:t>
            </w:r>
            <w:r w:rsidRPr="007F4174">
              <w:rPr>
                <w:rFonts w:ascii="Brother 1816 Light" w:eastAsia="Times New Roman" w:hAnsi="Brother 1816 Light" w:cs="Times New Roman"/>
                <w:b/>
                <w:bCs/>
                <w:color w:val="2F5496" w:themeColor="accent1" w:themeShade="BF"/>
                <w:kern w:val="2"/>
                <w:sz w:val="21"/>
                <w:szCs w:val="21"/>
                <w:shd w:val="clear" w:color="auto" w:fill="FFFFFF"/>
              </w:rPr>
              <w:t>All that is required for the TRD is the Number of</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Account managers available to the </w:t>
            </w:r>
            <w:r w:rsidR="00F83B0B" w:rsidRPr="007F4174">
              <w:rPr>
                <w:rFonts w:ascii="Brother 1816 Light" w:eastAsia="Times New Roman" w:hAnsi="Brother 1816 Light" w:cs="Times New Roman"/>
                <w:b/>
                <w:bCs/>
                <w:color w:val="2F5496" w:themeColor="accent1" w:themeShade="BF"/>
                <w:kern w:val="2"/>
                <w:sz w:val="21"/>
                <w:szCs w:val="21"/>
                <w:shd w:val="clear" w:color="auto" w:fill="FFFFFF"/>
              </w:rPr>
              <w:t>tenderer (</w:t>
            </w:r>
            <w:r w:rsidRPr="007F4174">
              <w:rPr>
                <w:rFonts w:ascii="Brother 1816 Light" w:eastAsia="Times New Roman" w:hAnsi="Brother 1816 Light" w:cs="Times New Roman"/>
                <w:b/>
                <w:bCs/>
                <w:color w:val="2F5496" w:themeColor="accent1" w:themeShade="BF"/>
                <w:kern w:val="2"/>
                <w:sz w:val="21"/>
                <w:szCs w:val="21"/>
                <w:shd w:val="clear" w:color="auto" w:fill="FFFFFF"/>
              </w:rPr>
              <w:t>Column 1 = Number of Full time Equivalents available to the tenderer, Column 2 = Number of FTEs</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(Full time Equivalents)</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provided by 3rd Parties).</w:t>
            </w:r>
          </w:p>
        </w:tc>
      </w:tr>
      <w:tr w:rsidR="00CC62D4" w:rsidRPr="007F4174" w14:paraId="549D0CF4" w14:textId="77777777" w:rsidTr="07BFE459">
        <w:trPr>
          <w:gridAfter w:val="1"/>
          <w:wAfter w:w="12" w:type="dxa"/>
        </w:trPr>
        <w:tc>
          <w:tcPr>
            <w:tcW w:w="553" w:type="dxa"/>
          </w:tcPr>
          <w:p w14:paraId="3D6334C7" w14:textId="61EE1F0B" w:rsidR="00CC62D4" w:rsidRPr="007F4174" w:rsidRDefault="00321CCB"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5.</w:t>
            </w:r>
          </w:p>
        </w:tc>
        <w:tc>
          <w:tcPr>
            <w:tcW w:w="3818" w:type="dxa"/>
          </w:tcPr>
          <w:p w14:paraId="54AF5AAB" w14:textId="77777777" w:rsidR="00F83B0B" w:rsidRPr="007F4174" w:rsidRDefault="00F83B0B" w:rsidP="00F83B0B">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Role label for item H (GIS, Lot 2)</w:t>
            </w:r>
          </w:p>
          <w:p w14:paraId="6636243E" w14:textId="77777777" w:rsidR="00F83B0B" w:rsidRPr="007F4174" w:rsidRDefault="00F83B0B" w:rsidP="00F83B0B">
            <w:pPr>
              <w:spacing w:line="240" w:lineRule="auto"/>
              <w:rPr>
                <w:rFonts w:cstheme="minorHAnsi"/>
                <w:color w:val="2F5496" w:themeColor="accent1" w:themeShade="BF"/>
                <w:sz w:val="21"/>
                <w:szCs w:val="21"/>
                <w:shd w:val="clear" w:color="auto" w:fill="FFFFFF"/>
              </w:rPr>
            </w:pPr>
          </w:p>
          <w:p w14:paraId="46193B5C" w14:textId="77777777" w:rsidR="00F83B0B" w:rsidRPr="007F4174" w:rsidRDefault="00F83B0B" w:rsidP="00F83B0B">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Reference: Appendix 2, second table, item H (“GIS Specific Technical Development (LOT-2)”).</w:t>
            </w:r>
          </w:p>
          <w:p w14:paraId="51071449" w14:textId="77777777" w:rsidR="00F83B0B" w:rsidRPr="007F4174" w:rsidRDefault="00F83B0B" w:rsidP="00F83B0B">
            <w:pPr>
              <w:spacing w:line="240" w:lineRule="auto"/>
              <w:rPr>
                <w:rFonts w:cstheme="minorHAnsi"/>
                <w:color w:val="2F5496" w:themeColor="accent1" w:themeShade="BF"/>
                <w:sz w:val="21"/>
                <w:szCs w:val="21"/>
                <w:shd w:val="clear" w:color="auto" w:fill="FFFFFF"/>
              </w:rPr>
            </w:pPr>
          </w:p>
          <w:p w14:paraId="21EC8438" w14:textId="17A20286" w:rsidR="00CC62D4" w:rsidRPr="007F4174" w:rsidRDefault="00F83B0B" w:rsidP="00F83B0B">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Item H's “Roles” column reads “Senior .NET Developer,” a title that does not appear in the first table. Please confirm that item H applies to the “GIS Developers (LOT-2)” role listed in the first table (together with item N, “Core GIS Technical Skills (LOT-2)”).</w:t>
            </w:r>
          </w:p>
        </w:tc>
        <w:tc>
          <w:tcPr>
            <w:tcW w:w="4490" w:type="dxa"/>
            <w:gridSpan w:val="2"/>
          </w:tcPr>
          <w:p w14:paraId="6205CDDB" w14:textId="77777777" w:rsidR="00F83B0B" w:rsidRPr="007F4174" w:rsidRDefault="00F83B0B" w:rsidP="00F83B0B">
            <w:pPr>
              <w:spacing w:after="160" w:line="278" w:lineRule="auto"/>
              <w:jc w:val="center"/>
              <w:rPr>
                <w:rFonts w:ascii="Brother 1816 Light" w:hAnsi="Brother 1816 Light"/>
                <w:b/>
                <w:bCs/>
                <w:color w:val="2F5496" w:themeColor="accent1" w:themeShade="BF"/>
                <w:sz w:val="21"/>
                <w:szCs w:val="21"/>
                <w:shd w:val="clear" w:color="auto" w:fill="FFFFFF"/>
              </w:rPr>
            </w:pPr>
          </w:p>
          <w:p w14:paraId="75AE3B32" w14:textId="77777777" w:rsidR="00F83B0B" w:rsidRPr="007F4174" w:rsidRDefault="00F83B0B" w:rsidP="00F83B0B">
            <w:pPr>
              <w:spacing w:after="160" w:line="278" w:lineRule="auto"/>
              <w:jc w:val="center"/>
              <w:rPr>
                <w:rFonts w:ascii="Brother 1816 Light" w:hAnsi="Brother 1816 Light"/>
                <w:b/>
                <w:bCs/>
                <w:color w:val="2F5496" w:themeColor="accent1" w:themeShade="BF"/>
                <w:sz w:val="21"/>
                <w:szCs w:val="21"/>
                <w:shd w:val="clear" w:color="auto" w:fill="FFFFFF"/>
              </w:rPr>
            </w:pPr>
          </w:p>
          <w:p w14:paraId="0745F037" w14:textId="77777777" w:rsidR="00F83B0B" w:rsidRPr="007F4174" w:rsidRDefault="00F83B0B" w:rsidP="00F83B0B">
            <w:pPr>
              <w:spacing w:after="160" w:line="278" w:lineRule="auto"/>
              <w:jc w:val="center"/>
              <w:rPr>
                <w:rFonts w:ascii="Brother 1816 Light" w:hAnsi="Brother 1816 Light"/>
                <w:b/>
                <w:bCs/>
                <w:color w:val="2F5496" w:themeColor="accent1" w:themeShade="BF"/>
                <w:sz w:val="21"/>
                <w:szCs w:val="21"/>
                <w:shd w:val="clear" w:color="auto" w:fill="FFFFFF"/>
              </w:rPr>
            </w:pPr>
          </w:p>
          <w:p w14:paraId="09992E97" w14:textId="3821E473" w:rsidR="00CC62D4" w:rsidRPr="007F4174" w:rsidRDefault="00F83B0B" w:rsidP="00F83B0B">
            <w:pPr>
              <w:spacing w:after="160" w:line="278" w:lineRule="auto"/>
              <w:jc w:val="center"/>
              <w:rPr>
                <w:b/>
                <w:bCs/>
                <w:color w:val="2F5496" w:themeColor="accent1" w:themeShade="BF"/>
              </w:rPr>
            </w:pPr>
            <w:r w:rsidRPr="007F4174">
              <w:rPr>
                <w:rFonts w:ascii="Brother 1816 Light" w:hAnsi="Brother 1816 Light"/>
                <w:b/>
                <w:bCs/>
                <w:color w:val="2F5496" w:themeColor="accent1" w:themeShade="BF"/>
                <w:sz w:val="21"/>
                <w:szCs w:val="21"/>
                <w:shd w:val="clear" w:color="auto" w:fill="FFFFFF"/>
              </w:rPr>
              <w:t>Yes</w:t>
            </w:r>
          </w:p>
        </w:tc>
      </w:tr>
      <w:tr w:rsidR="00CC62D4" w:rsidRPr="007F4174" w14:paraId="4BA6E5B0" w14:textId="77777777" w:rsidTr="07BFE459">
        <w:trPr>
          <w:gridAfter w:val="1"/>
          <w:wAfter w:w="12" w:type="dxa"/>
        </w:trPr>
        <w:tc>
          <w:tcPr>
            <w:tcW w:w="553" w:type="dxa"/>
          </w:tcPr>
          <w:p w14:paraId="38CF6302" w14:textId="68DC5523" w:rsidR="00CC62D4" w:rsidRPr="007F4174" w:rsidRDefault="00321CCB"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6.</w:t>
            </w:r>
          </w:p>
        </w:tc>
        <w:tc>
          <w:tcPr>
            <w:tcW w:w="3818" w:type="dxa"/>
          </w:tcPr>
          <w:p w14:paraId="4E73EA6C" w14:textId="77777777" w:rsidR="009074E7" w:rsidRPr="007F4174" w:rsidRDefault="009074E7" w:rsidP="009074E7">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“Possess all” rule vs. expertise bundled across multiple roles / seniorities</w:t>
            </w:r>
          </w:p>
          <w:p w14:paraId="4FF503E1" w14:textId="77777777" w:rsidR="009074E7" w:rsidRPr="007F4174" w:rsidRDefault="009074E7" w:rsidP="009074E7">
            <w:pPr>
              <w:spacing w:line="240" w:lineRule="auto"/>
              <w:rPr>
                <w:rFonts w:cstheme="minorHAnsi"/>
                <w:color w:val="2F5496" w:themeColor="accent1" w:themeShade="BF"/>
                <w:sz w:val="21"/>
                <w:szCs w:val="21"/>
                <w:shd w:val="clear" w:color="auto" w:fill="FFFFFF"/>
              </w:rPr>
            </w:pPr>
          </w:p>
          <w:p w14:paraId="05A2B5FE" w14:textId="77777777" w:rsidR="009074E7" w:rsidRPr="007F4174" w:rsidRDefault="009074E7" w:rsidP="009074E7">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Reference: RFT p50 (“the following table identifies the specific skills and competencies required by each role”); TRD Personnel and Skills (“an individual must possess all of the skills, technical abilities and expertise described for a specific role”); Appendix 2 second table, items A, B, C, F, L (and D, E, I, K, N).</w:t>
            </w:r>
          </w:p>
          <w:p w14:paraId="4E2C904A" w14:textId="77777777" w:rsidR="009074E7" w:rsidRPr="007F4174" w:rsidRDefault="009074E7" w:rsidP="009074E7">
            <w:pPr>
              <w:spacing w:line="240" w:lineRule="auto"/>
              <w:rPr>
                <w:rFonts w:cstheme="minorHAnsi"/>
                <w:color w:val="2F5496" w:themeColor="accent1" w:themeShade="BF"/>
                <w:sz w:val="21"/>
                <w:szCs w:val="21"/>
                <w:shd w:val="clear" w:color="auto" w:fill="FFFFFF"/>
              </w:rPr>
            </w:pPr>
          </w:p>
          <w:p w14:paraId="1EA83782" w14:textId="77777777" w:rsidR="009074E7" w:rsidRPr="007F4174" w:rsidRDefault="009074E7" w:rsidP="009074E7">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Several items list one combined “Specific Expertise Required” set against multiple distinct roles and/or both seniority levels — e.g. item A covers Business Analyst, Product Owner and Scrum Master/PM; item B covers Software Architect and Senior/Junior Software Developer. Please confirm whether:</w:t>
            </w:r>
          </w:p>
          <w:p w14:paraId="36663AC9" w14:textId="77777777" w:rsidR="009074E7" w:rsidRPr="007F4174" w:rsidRDefault="009074E7" w:rsidP="009074E7">
            <w:pPr>
              <w:spacing w:line="240" w:lineRule="auto"/>
              <w:rPr>
                <w:rFonts w:cstheme="minorHAnsi"/>
                <w:color w:val="2F5496" w:themeColor="accent1" w:themeShade="BF"/>
                <w:sz w:val="21"/>
                <w:szCs w:val="21"/>
                <w:shd w:val="clear" w:color="auto" w:fill="FFFFFF"/>
              </w:rPr>
            </w:pPr>
          </w:p>
          <w:p w14:paraId="0AEA1294" w14:textId="77777777" w:rsidR="009074E7" w:rsidRPr="007F4174" w:rsidRDefault="009074E7" w:rsidP="009074E7">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(a) every individual proposed for any role named against an item must possess all of the expertise listed in that item; or</w:t>
            </w:r>
          </w:p>
          <w:p w14:paraId="50D77E46" w14:textId="77777777" w:rsidR="009074E7" w:rsidRPr="007F4174" w:rsidRDefault="009074E7" w:rsidP="009074E7">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(b) the listed expertise is a pooled competency set for the roles named, from which each individual is expected to demonstrate the subset relevant to their specific role and seniority.</w:t>
            </w:r>
          </w:p>
          <w:p w14:paraId="0716176D" w14:textId="76141A58" w:rsidR="00CC62D4" w:rsidRPr="007F4174" w:rsidRDefault="009074E7" w:rsidP="009074E7">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The distinction is material to the pass/fail assessment (e.g. whether a Scrum Master </w:t>
            </w:r>
            <w:r w:rsidRPr="007F4174">
              <w:rPr>
                <w:rFonts w:cstheme="minorHAnsi"/>
                <w:color w:val="2F5496" w:themeColor="accent1" w:themeShade="BF"/>
                <w:sz w:val="21"/>
                <w:szCs w:val="21"/>
                <w:shd w:val="clear" w:color="auto" w:fill="FFFFFF"/>
              </w:rPr>
              <w:lastRenderedPageBreak/>
              <w:t>must evidence Business Analysis systems-analysis skills, or a Junior Developer the full architect-level language/framework breadth).</w:t>
            </w:r>
          </w:p>
        </w:tc>
        <w:tc>
          <w:tcPr>
            <w:tcW w:w="4490" w:type="dxa"/>
            <w:gridSpan w:val="2"/>
          </w:tcPr>
          <w:p w14:paraId="29AB6643"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33BBE4C8"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44A33F9B"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3B6B0EC6"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690145CB"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442EBCF9"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3C391136"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2867EE55"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413977DE"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3F1A2469"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6659FF64" w14:textId="77777777" w:rsidR="009074E7"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p>
          <w:p w14:paraId="758D5FF3" w14:textId="68F3A6FC" w:rsidR="00CC62D4" w:rsidRPr="007F4174" w:rsidRDefault="009074E7" w:rsidP="009074E7">
            <w:pPr>
              <w:spacing w:line="240" w:lineRule="auto"/>
              <w:jc w:val="center"/>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Option B applies</w:t>
            </w:r>
          </w:p>
        </w:tc>
      </w:tr>
      <w:tr w:rsidR="00CC62D4" w:rsidRPr="007F4174" w14:paraId="53FD7EF1" w14:textId="77777777" w:rsidTr="07BFE459">
        <w:trPr>
          <w:gridAfter w:val="1"/>
          <w:wAfter w:w="12" w:type="dxa"/>
        </w:trPr>
        <w:tc>
          <w:tcPr>
            <w:tcW w:w="553" w:type="dxa"/>
          </w:tcPr>
          <w:p w14:paraId="5CC666E1" w14:textId="0BEA7EBB" w:rsidR="00CC62D4" w:rsidRPr="007F4174" w:rsidRDefault="005830F7"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7.</w:t>
            </w:r>
          </w:p>
        </w:tc>
        <w:tc>
          <w:tcPr>
            <w:tcW w:w="3818" w:type="dxa"/>
          </w:tcPr>
          <w:p w14:paraId="3E195925" w14:textId="77777777" w:rsidR="00B948EC" w:rsidRPr="007F4174" w:rsidRDefault="00B948EC" w:rsidP="00B948E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Counting one individual against multiple roles' minimum numbers</w:t>
            </w:r>
          </w:p>
          <w:p w14:paraId="6D7DA4A0" w14:textId="77777777" w:rsidR="00B948EC" w:rsidRPr="007F4174" w:rsidRDefault="00B948EC" w:rsidP="00B948EC">
            <w:pPr>
              <w:spacing w:line="240" w:lineRule="auto"/>
              <w:rPr>
                <w:rFonts w:cstheme="minorHAnsi"/>
                <w:color w:val="2F5496" w:themeColor="accent1" w:themeShade="BF"/>
                <w:sz w:val="21"/>
                <w:szCs w:val="21"/>
                <w:shd w:val="clear" w:color="auto" w:fill="FFFFFF"/>
              </w:rPr>
            </w:pPr>
          </w:p>
          <w:p w14:paraId="08217335" w14:textId="77777777" w:rsidR="00B948EC" w:rsidRPr="007F4174" w:rsidRDefault="00B948EC" w:rsidP="00B948E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Reference: RFT Required Resources (“a single individual may fulfil multiple roles…”); Appendix 2 first table, “Minimum Number of Resources” column.</w:t>
            </w:r>
          </w:p>
          <w:p w14:paraId="064D6D15" w14:textId="77777777" w:rsidR="00B948EC" w:rsidRPr="007F4174" w:rsidRDefault="00B948EC" w:rsidP="00B948EC">
            <w:pPr>
              <w:spacing w:line="240" w:lineRule="auto"/>
              <w:rPr>
                <w:rFonts w:cstheme="minorHAnsi"/>
                <w:color w:val="2F5496" w:themeColor="accent1" w:themeShade="BF"/>
                <w:sz w:val="21"/>
                <w:szCs w:val="21"/>
                <w:shd w:val="clear" w:color="auto" w:fill="FFFFFF"/>
              </w:rPr>
            </w:pPr>
          </w:p>
          <w:p w14:paraId="4265ACB1" w14:textId="635E7447" w:rsidR="00CC62D4" w:rsidRPr="007F4174" w:rsidRDefault="00B948EC" w:rsidP="00B948E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Please confirm how multi-role individuals interact with the “Minimum Number of Resources” requirement — specifically, whether one individual who fulfils multiple roles counts toward the minimum number of resources for each of those roles simultaneously, or whether the minimum number for each role must be met by distinct individuals.</w:t>
            </w:r>
          </w:p>
        </w:tc>
        <w:tc>
          <w:tcPr>
            <w:tcW w:w="4490" w:type="dxa"/>
            <w:gridSpan w:val="2"/>
          </w:tcPr>
          <w:p w14:paraId="072C7565" w14:textId="77777777" w:rsidR="00CC62D4" w:rsidRPr="007F4174" w:rsidRDefault="00CC62D4"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554B3DA5" w14:textId="77777777" w:rsidR="00B948EC" w:rsidRPr="007F4174" w:rsidRDefault="00B948EC" w:rsidP="00B948EC">
            <w:pPr>
              <w:rPr>
                <w:rFonts w:ascii="Brother 1816 Light" w:eastAsia="Times New Roman" w:hAnsi="Brother 1816 Light" w:cs="Times New Roman"/>
                <w:color w:val="2F5496" w:themeColor="accent1" w:themeShade="BF"/>
                <w:sz w:val="21"/>
                <w:szCs w:val="21"/>
              </w:rPr>
            </w:pPr>
          </w:p>
          <w:p w14:paraId="15571875" w14:textId="77777777" w:rsidR="00B948EC" w:rsidRPr="007F4174" w:rsidRDefault="00B948EC" w:rsidP="00B948EC">
            <w:pPr>
              <w:rPr>
                <w:rFonts w:ascii="Brother 1816 Light" w:eastAsia="Times New Roman" w:hAnsi="Brother 1816 Light" w:cs="Times New Roman"/>
                <w:b/>
                <w:bCs/>
                <w:color w:val="2F5496" w:themeColor="accent1" w:themeShade="BF"/>
                <w:kern w:val="2"/>
                <w:sz w:val="21"/>
                <w:szCs w:val="21"/>
                <w:shd w:val="clear" w:color="auto" w:fill="FFFFFF"/>
              </w:rPr>
            </w:pPr>
          </w:p>
          <w:p w14:paraId="69098A58" w14:textId="77777777" w:rsidR="00B948EC" w:rsidRPr="007F4174" w:rsidRDefault="00B948EC" w:rsidP="00B948EC">
            <w:pPr>
              <w:rPr>
                <w:rFonts w:ascii="Brother 1816 Light" w:eastAsia="Times New Roman" w:hAnsi="Brother 1816 Light" w:cs="Times New Roman"/>
                <w:b/>
                <w:bCs/>
                <w:color w:val="2F5496" w:themeColor="accent1" w:themeShade="BF"/>
                <w:kern w:val="2"/>
                <w:sz w:val="21"/>
                <w:szCs w:val="21"/>
                <w:shd w:val="clear" w:color="auto" w:fill="FFFFFF"/>
              </w:rPr>
            </w:pPr>
          </w:p>
          <w:p w14:paraId="519ECBCE" w14:textId="1302D919" w:rsidR="00B948EC" w:rsidRPr="007F4174" w:rsidRDefault="00B948EC" w:rsidP="00B948EC">
            <w:pPr>
              <w:rPr>
                <w:rFonts w:ascii="Brother 1816 Light" w:eastAsia="Times New Roman" w:hAnsi="Brother 1816 Light" w:cs="Times New Roman"/>
                <w:b/>
                <w:bCs/>
                <w:color w:val="2F5496" w:themeColor="accent1" w:themeShade="BF"/>
                <w:sz w:val="21"/>
                <w:szCs w:val="21"/>
              </w:rPr>
            </w:pPr>
            <w:r w:rsidRPr="007F4174">
              <w:rPr>
                <w:rFonts w:ascii="Brother 1816 Light" w:eastAsia="Times New Roman" w:hAnsi="Brother 1816 Light" w:cs="Times New Roman"/>
                <w:b/>
                <w:bCs/>
                <w:color w:val="2F5496" w:themeColor="accent1" w:themeShade="BF"/>
                <w:sz w:val="21"/>
                <w:szCs w:val="21"/>
              </w:rPr>
              <w:t>Yes, one individual who fulfils multiple roles counts toward the minimum number of resources for each of those roles simultaneously.</w:t>
            </w:r>
          </w:p>
        </w:tc>
      </w:tr>
      <w:tr w:rsidR="00CC62D4" w:rsidRPr="007F4174" w14:paraId="347B38BB" w14:textId="77777777" w:rsidTr="07BFE459">
        <w:trPr>
          <w:gridAfter w:val="1"/>
          <w:wAfter w:w="12" w:type="dxa"/>
        </w:trPr>
        <w:tc>
          <w:tcPr>
            <w:tcW w:w="553" w:type="dxa"/>
          </w:tcPr>
          <w:p w14:paraId="3EFBCCFA" w14:textId="12FB064F" w:rsidR="00CC62D4" w:rsidRPr="007F4174" w:rsidRDefault="000F7ACA"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8.</w:t>
            </w:r>
          </w:p>
        </w:tc>
        <w:tc>
          <w:tcPr>
            <w:tcW w:w="3818" w:type="dxa"/>
          </w:tcPr>
          <w:p w14:paraId="71B6FD32" w14:textId="77777777" w:rsidR="000A24BF" w:rsidRPr="007F4174" w:rsidRDefault="000A24BF" w:rsidP="000A24B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This question is in regard to the Product Liability Insurance requirement stated in the RFT on Page 18, Section 4.3 A and the Lot 1 and Lot 2 TRD's, Financial Section, Page 7</w:t>
            </w:r>
          </w:p>
          <w:p w14:paraId="141C50F7" w14:textId="77777777" w:rsidR="000A24BF" w:rsidRPr="007F4174" w:rsidRDefault="000A24BF" w:rsidP="000A24BF">
            <w:pPr>
              <w:spacing w:line="240" w:lineRule="auto"/>
              <w:rPr>
                <w:rFonts w:cstheme="minorHAnsi"/>
                <w:color w:val="2F5496" w:themeColor="accent1" w:themeShade="BF"/>
                <w:sz w:val="21"/>
                <w:szCs w:val="21"/>
                <w:shd w:val="clear" w:color="auto" w:fill="FFFFFF"/>
              </w:rPr>
            </w:pPr>
          </w:p>
          <w:p w14:paraId="1D5AD97E" w14:textId="77777777" w:rsidR="000A24BF" w:rsidRPr="007F4174" w:rsidRDefault="000A24BF" w:rsidP="000A24B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The Product Liability Directive (PLD), that extends the definition of ‘product’ to include software, comes into force as of 9th December 2026. According to the PLD, for software to incur product liability, it must have been placed/made available in the market. This condition clearly does not apply to the bespoke software being developed for the LGMA under the scope of this </w:t>
            </w:r>
            <w:proofErr w:type="spellStart"/>
            <w:r w:rsidRPr="007F4174">
              <w:rPr>
                <w:rFonts w:cstheme="minorHAnsi"/>
                <w:color w:val="2F5496" w:themeColor="accent1" w:themeShade="BF"/>
                <w:sz w:val="21"/>
                <w:szCs w:val="21"/>
                <w:shd w:val="clear" w:color="auto" w:fill="FFFFFF"/>
              </w:rPr>
              <w:t>RfT</w:t>
            </w:r>
            <w:proofErr w:type="spellEnd"/>
            <w:r w:rsidRPr="007F4174">
              <w:rPr>
                <w:rFonts w:cstheme="minorHAnsi"/>
                <w:color w:val="2F5496" w:themeColor="accent1" w:themeShade="BF"/>
                <w:sz w:val="21"/>
                <w:szCs w:val="21"/>
                <w:shd w:val="clear" w:color="auto" w:fill="FFFFFF"/>
              </w:rPr>
              <w:t>.</w:t>
            </w:r>
          </w:p>
          <w:p w14:paraId="41566E5F" w14:textId="77777777" w:rsidR="000A24BF" w:rsidRPr="007F4174" w:rsidRDefault="000A24BF" w:rsidP="000A24BF">
            <w:pPr>
              <w:spacing w:line="240" w:lineRule="auto"/>
              <w:rPr>
                <w:rFonts w:cstheme="minorHAnsi"/>
                <w:color w:val="2F5496" w:themeColor="accent1" w:themeShade="BF"/>
                <w:sz w:val="21"/>
                <w:szCs w:val="21"/>
                <w:shd w:val="clear" w:color="auto" w:fill="FFFFFF"/>
              </w:rPr>
            </w:pPr>
          </w:p>
          <w:p w14:paraId="2BD503CF" w14:textId="77777777" w:rsidR="000A24BF" w:rsidRPr="007F4174" w:rsidRDefault="000A24BF" w:rsidP="000A24B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The PLD further qualifies this condition through the idea that, if it is the first instance of some software is put into service in advance of being placed on the market, then it also incurs product liability. This would in principle apply to the bespoke software being developed for the LGMA under the scope of this </w:t>
            </w:r>
            <w:proofErr w:type="spellStart"/>
            <w:r w:rsidRPr="007F4174">
              <w:rPr>
                <w:rFonts w:cstheme="minorHAnsi"/>
                <w:color w:val="2F5496" w:themeColor="accent1" w:themeShade="BF"/>
                <w:sz w:val="21"/>
                <w:szCs w:val="21"/>
                <w:shd w:val="clear" w:color="auto" w:fill="FFFFFF"/>
              </w:rPr>
              <w:t>RfT</w:t>
            </w:r>
            <w:proofErr w:type="spellEnd"/>
            <w:r w:rsidRPr="007F4174">
              <w:rPr>
                <w:rFonts w:cstheme="minorHAnsi"/>
                <w:color w:val="2F5496" w:themeColor="accent1" w:themeShade="BF"/>
                <w:sz w:val="21"/>
                <w:szCs w:val="21"/>
                <w:shd w:val="clear" w:color="auto" w:fill="FFFFFF"/>
              </w:rPr>
              <w:t>, as the contractor could, in principle, place this software on the market in the future with the intention to offer it to agencies in other jurisdictions.</w:t>
            </w:r>
          </w:p>
          <w:p w14:paraId="25FFF91D" w14:textId="77777777" w:rsidR="000A24BF" w:rsidRPr="007F4174" w:rsidRDefault="000A24BF" w:rsidP="000A24BF">
            <w:pPr>
              <w:spacing w:line="240" w:lineRule="auto"/>
              <w:rPr>
                <w:rFonts w:cstheme="minorHAnsi"/>
                <w:color w:val="2F5496" w:themeColor="accent1" w:themeShade="BF"/>
                <w:sz w:val="21"/>
                <w:szCs w:val="21"/>
                <w:shd w:val="clear" w:color="auto" w:fill="FFFFFF"/>
              </w:rPr>
            </w:pPr>
          </w:p>
          <w:p w14:paraId="68048A00" w14:textId="77777777" w:rsidR="000A24BF" w:rsidRPr="007F4174" w:rsidRDefault="000A24BF" w:rsidP="000A24B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lastRenderedPageBreak/>
              <w:t xml:space="preserve">However, in the </w:t>
            </w:r>
            <w:proofErr w:type="spellStart"/>
            <w:r w:rsidRPr="007F4174">
              <w:rPr>
                <w:rFonts w:cstheme="minorHAnsi"/>
                <w:color w:val="2F5496" w:themeColor="accent1" w:themeShade="BF"/>
                <w:sz w:val="21"/>
                <w:szCs w:val="21"/>
                <w:shd w:val="clear" w:color="auto" w:fill="FFFFFF"/>
              </w:rPr>
              <w:t>RfT</w:t>
            </w:r>
            <w:proofErr w:type="spellEnd"/>
            <w:r w:rsidRPr="007F4174">
              <w:rPr>
                <w:rFonts w:cstheme="minorHAnsi"/>
                <w:color w:val="2F5496" w:themeColor="accent1" w:themeShade="BF"/>
                <w:sz w:val="21"/>
                <w:szCs w:val="21"/>
                <w:shd w:val="clear" w:color="auto" w:fill="FFFFFF"/>
              </w:rPr>
              <w:t xml:space="preserve"> (Page 13, penultimate paragraph) it </w:t>
            </w:r>
            <w:proofErr w:type="gramStart"/>
            <w:r w:rsidRPr="007F4174">
              <w:rPr>
                <w:rFonts w:cstheme="minorHAnsi"/>
                <w:color w:val="2F5496" w:themeColor="accent1" w:themeShade="BF"/>
                <w:sz w:val="21"/>
                <w:szCs w:val="21"/>
                <w:shd w:val="clear" w:color="auto" w:fill="FFFFFF"/>
              </w:rPr>
              <w:t>states:-</w:t>
            </w:r>
            <w:proofErr w:type="gramEnd"/>
            <w:r w:rsidRPr="007F4174">
              <w:rPr>
                <w:rFonts w:cstheme="minorHAnsi"/>
                <w:color w:val="2F5496" w:themeColor="accent1" w:themeShade="BF"/>
                <w:sz w:val="21"/>
                <w:szCs w:val="21"/>
                <w:shd w:val="clear" w:color="auto" w:fill="FFFFFF"/>
              </w:rPr>
              <w:t xml:space="preserve"> All intellectual property rights, including, but not limited to, software artefacts, source code, documentation, and related deliverables developed under this contract shall vest exclusively in LGMA upon creation.</w:t>
            </w:r>
          </w:p>
          <w:p w14:paraId="112F123F" w14:textId="77777777" w:rsidR="000A24BF" w:rsidRPr="007F4174" w:rsidRDefault="000A24BF" w:rsidP="000A24BF">
            <w:pPr>
              <w:spacing w:line="240" w:lineRule="auto"/>
              <w:rPr>
                <w:rFonts w:cstheme="minorHAnsi"/>
                <w:color w:val="2F5496" w:themeColor="accent1" w:themeShade="BF"/>
                <w:sz w:val="21"/>
                <w:szCs w:val="21"/>
                <w:shd w:val="clear" w:color="auto" w:fill="FFFFFF"/>
              </w:rPr>
            </w:pPr>
          </w:p>
          <w:p w14:paraId="5CF35C19" w14:textId="55DBB21C" w:rsidR="00CC62D4" w:rsidRPr="007F4174" w:rsidRDefault="000A24BF" w:rsidP="000A24B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This requirement of the </w:t>
            </w:r>
            <w:proofErr w:type="spellStart"/>
            <w:r w:rsidRPr="007F4174">
              <w:rPr>
                <w:rFonts w:cstheme="minorHAnsi"/>
                <w:color w:val="2F5496" w:themeColor="accent1" w:themeShade="BF"/>
                <w:sz w:val="21"/>
                <w:szCs w:val="21"/>
                <w:shd w:val="clear" w:color="auto" w:fill="FFFFFF"/>
              </w:rPr>
              <w:t>RfT</w:t>
            </w:r>
            <w:proofErr w:type="spellEnd"/>
            <w:r w:rsidRPr="007F4174">
              <w:rPr>
                <w:rFonts w:cstheme="minorHAnsi"/>
                <w:color w:val="2F5496" w:themeColor="accent1" w:themeShade="BF"/>
                <w:sz w:val="21"/>
                <w:szCs w:val="21"/>
                <w:shd w:val="clear" w:color="auto" w:fill="FFFFFF"/>
              </w:rPr>
              <w:t xml:space="preserve">, completely removes any possibility of the contractor being able to place the software on the market in the future, after the first instance is put into service for the benefit of the LGMA. Accordingly, the PLD would not apply to the bespoke software being developed for the LGMA under this </w:t>
            </w:r>
            <w:proofErr w:type="spellStart"/>
            <w:r w:rsidRPr="007F4174">
              <w:rPr>
                <w:rFonts w:cstheme="minorHAnsi"/>
                <w:color w:val="2F5496" w:themeColor="accent1" w:themeShade="BF"/>
                <w:sz w:val="21"/>
                <w:szCs w:val="21"/>
                <w:shd w:val="clear" w:color="auto" w:fill="FFFFFF"/>
              </w:rPr>
              <w:t>RfT</w:t>
            </w:r>
            <w:proofErr w:type="spellEnd"/>
            <w:r w:rsidRPr="007F4174">
              <w:rPr>
                <w:rFonts w:cstheme="minorHAnsi"/>
                <w:color w:val="2F5496" w:themeColor="accent1" w:themeShade="BF"/>
                <w:sz w:val="21"/>
                <w:szCs w:val="21"/>
                <w:shd w:val="clear" w:color="auto" w:fill="FFFFFF"/>
              </w:rPr>
              <w:t xml:space="preserve">. We therefore ask that the requirement for Product Liability Insurance be removed from the </w:t>
            </w:r>
            <w:proofErr w:type="spellStart"/>
            <w:r w:rsidRPr="007F4174">
              <w:rPr>
                <w:rFonts w:cstheme="minorHAnsi"/>
                <w:color w:val="2F5496" w:themeColor="accent1" w:themeShade="BF"/>
                <w:sz w:val="21"/>
                <w:szCs w:val="21"/>
                <w:shd w:val="clear" w:color="auto" w:fill="FFFFFF"/>
              </w:rPr>
              <w:t>RfT</w:t>
            </w:r>
            <w:proofErr w:type="spellEnd"/>
            <w:r w:rsidRPr="007F4174">
              <w:rPr>
                <w:rFonts w:cstheme="minorHAnsi"/>
                <w:color w:val="2F5496" w:themeColor="accent1" w:themeShade="BF"/>
                <w:sz w:val="21"/>
                <w:szCs w:val="21"/>
                <w:shd w:val="clear" w:color="auto" w:fill="FFFFFF"/>
              </w:rPr>
              <w:t>.</w:t>
            </w:r>
          </w:p>
        </w:tc>
        <w:tc>
          <w:tcPr>
            <w:tcW w:w="4490" w:type="dxa"/>
            <w:gridSpan w:val="2"/>
          </w:tcPr>
          <w:p w14:paraId="131DD79C" w14:textId="77777777" w:rsidR="000A24BF" w:rsidRPr="007F4174" w:rsidRDefault="000A24BF"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lastRenderedPageBreak/>
              <w:t xml:space="preserve">Product liability is a standard insurance requirement for tenders, the fact that it is required does not suggest it is required to cover the support &amp; maintenance service (that's to be covered under professional indemnity). </w:t>
            </w:r>
          </w:p>
          <w:p w14:paraId="47260144" w14:textId="77777777" w:rsidR="000A24BF" w:rsidRPr="007F4174" w:rsidRDefault="000A24BF"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7F211DA5" w14:textId="7AE53B6F" w:rsidR="00CC62D4" w:rsidRPr="007F4174" w:rsidRDefault="000A24BF"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In this instance, Product Liability would cover what are probably fairly remote contingencies, such as the provision of a server or some other hardware by the provider under the terms of the contract.</w:t>
            </w:r>
          </w:p>
        </w:tc>
      </w:tr>
      <w:tr w:rsidR="00CC62D4" w:rsidRPr="007F4174" w14:paraId="6E969EF5" w14:textId="77777777" w:rsidTr="07BFE459">
        <w:trPr>
          <w:gridAfter w:val="1"/>
          <w:wAfter w:w="12" w:type="dxa"/>
        </w:trPr>
        <w:tc>
          <w:tcPr>
            <w:tcW w:w="553" w:type="dxa"/>
          </w:tcPr>
          <w:p w14:paraId="66CAD26E" w14:textId="0AB7F857" w:rsidR="00CC62D4" w:rsidRPr="007F4174" w:rsidRDefault="000A24BF"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9.</w:t>
            </w:r>
          </w:p>
        </w:tc>
        <w:tc>
          <w:tcPr>
            <w:tcW w:w="3818" w:type="dxa"/>
          </w:tcPr>
          <w:p w14:paraId="6B667E23" w14:textId="4B4DF918" w:rsidR="00836DB5" w:rsidRPr="007F4174" w:rsidRDefault="00836DB5" w:rsidP="00836DB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The EU tender notice on TED </w:t>
            </w:r>
            <w:r w:rsidRPr="007F4174">
              <w:rPr>
                <w:rFonts w:cstheme="minorHAnsi"/>
                <w:color w:val="2F5496" w:themeColor="accent1" w:themeShade="BF"/>
                <w:sz w:val="21"/>
                <w:szCs w:val="21"/>
                <w:shd w:val="clear" w:color="auto" w:fill="FFFFFF"/>
              </w:rPr>
              <w:t>(https://ted.europa.eu/en/)</w:t>
            </w:r>
            <w:r w:rsidRPr="007F4174">
              <w:rPr>
                <w:rFonts w:cstheme="minorHAnsi"/>
                <w:color w:val="2F5496" w:themeColor="accent1" w:themeShade="BF"/>
                <w:sz w:val="21"/>
                <w:szCs w:val="21"/>
                <w:shd w:val="clear" w:color="auto" w:fill="FFFFFF"/>
              </w:rPr>
              <w:t xml:space="preserve"> states on Page 1 that both LOT-0001 and LOT-0002 have an estimated value excluding VAT of 9 800 000,00 EUR</w:t>
            </w:r>
          </w:p>
          <w:p w14:paraId="5601ED9D" w14:textId="77777777" w:rsidR="00836DB5" w:rsidRPr="007F4174" w:rsidRDefault="00836DB5" w:rsidP="00836DB5">
            <w:pPr>
              <w:spacing w:line="240" w:lineRule="auto"/>
              <w:rPr>
                <w:rFonts w:cstheme="minorHAnsi"/>
                <w:color w:val="2F5496" w:themeColor="accent1" w:themeShade="BF"/>
                <w:sz w:val="21"/>
                <w:szCs w:val="21"/>
                <w:shd w:val="clear" w:color="auto" w:fill="FFFFFF"/>
              </w:rPr>
            </w:pPr>
          </w:p>
          <w:p w14:paraId="0DF7A9FE" w14:textId="227A4D13" w:rsidR="00CC62D4" w:rsidRPr="007F4174" w:rsidRDefault="00836DB5" w:rsidP="00836DB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Are we correct to assume that this figure for each lot is an error and the combined value for both lots is 9 800 000,00 EUR (not 2 x 9 800 000,00 EUR</w:t>
            </w:r>
            <w:r w:rsidR="009827C3" w:rsidRPr="007F4174">
              <w:rPr>
                <w:rFonts w:cstheme="minorHAnsi"/>
                <w:color w:val="2F5496" w:themeColor="accent1" w:themeShade="BF"/>
                <w:sz w:val="21"/>
                <w:szCs w:val="21"/>
                <w:shd w:val="clear" w:color="auto" w:fill="FFFFFF"/>
              </w:rPr>
              <w:t>)?</w:t>
            </w:r>
          </w:p>
        </w:tc>
        <w:tc>
          <w:tcPr>
            <w:tcW w:w="4490" w:type="dxa"/>
            <w:gridSpan w:val="2"/>
          </w:tcPr>
          <w:p w14:paraId="71413B8E" w14:textId="106ECC12" w:rsidR="00CC62D4" w:rsidRPr="007F4174" w:rsidRDefault="009827C3"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T</w:t>
            </w:r>
            <w:r w:rsidR="00CA477A" w:rsidRPr="007F4174">
              <w:rPr>
                <w:rFonts w:ascii="Brother 1816 Light" w:eastAsia="Times New Roman" w:hAnsi="Brother 1816 Light" w:cs="Times New Roman"/>
                <w:b/>
                <w:bCs/>
                <w:color w:val="2F5496" w:themeColor="accent1" w:themeShade="BF"/>
                <w:kern w:val="2"/>
                <w:sz w:val="21"/>
                <w:szCs w:val="21"/>
                <w:shd w:val="clear" w:color="auto" w:fill="FFFFFF"/>
              </w:rPr>
              <w:t>he correct figure for both Lot's combined is 9,800,000 EUR</w:t>
            </w:r>
          </w:p>
        </w:tc>
      </w:tr>
      <w:tr w:rsidR="00CC62D4" w:rsidRPr="007F4174" w14:paraId="0693F69E" w14:textId="77777777" w:rsidTr="07BFE459">
        <w:trPr>
          <w:gridAfter w:val="1"/>
          <w:wAfter w:w="12" w:type="dxa"/>
        </w:trPr>
        <w:tc>
          <w:tcPr>
            <w:tcW w:w="553" w:type="dxa"/>
          </w:tcPr>
          <w:p w14:paraId="0F519157" w14:textId="0FCE4B07" w:rsidR="00CC62D4" w:rsidRPr="007F4174" w:rsidRDefault="000A24BF"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10.</w:t>
            </w:r>
          </w:p>
        </w:tc>
        <w:tc>
          <w:tcPr>
            <w:tcW w:w="3818" w:type="dxa"/>
          </w:tcPr>
          <w:p w14:paraId="61B1294B"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The </w:t>
            </w:r>
            <w:proofErr w:type="spellStart"/>
            <w:r w:rsidRPr="007F4174">
              <w:rPr>
                <w:rFonts w:cstheme="minorHAnsi"/>
                <w:color w:val="2F5496" w:themeColor="accent1" w:themeShade="BF"/>
                <w:sz w:val="21"/>
                <w:szCs w:val="21"/>
                <w:shd w:val="clear" w:color="auto" w:fill="FFFFFF"/>
              </w:rPr>
              <w:t>RfT</w:t>
            </w:r>
            <w:proofErr w:type="spellEnd"/>
            <w:r w:rsidRPr="007F4174">
              <w:rPr>
                <w:rFonts w:cstheme="minorHAnsi"/>
                <w:color w:val="2F5496" w:themeColor="accent1" w:themeShade="BF"/>
                <w:sz w:val="21"/>
                <w:szCs w:val="21"/>
                <w:shd w:val="clear" w:color="auto" w:fill="FFFFFF"/>
              </w:rPr>
              <w:t xml:space="preserve"> indicates that the contractor shall bill for support quarterly in arrears for administrative and audit reasons (pages 9 and 14).</w:t>
            </w:r>
          </w:p>
          <w:p w14:paraId="648A1ABB"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213054C6"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Please confirm that when you refer to "maintenance and support" in this instance you are referring to 2nd Level (Tier 2?) Support for all the systems listed as well as any others that are currently in progress or could be commissioned under the Framework? Or are you including all development activities or is intended only for activities related to a current, live release and excludes any significant changes or developed enhancements?</w:t>
            </w:r>
          </w:p>
          <w:p w14:paraId="5630E56D"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2CDE7AF6"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Page 1 – Scope of Frameworks (cover section)</w:t>
            </w:r>
          </w:p>
          <w:p w14:paraId="6E200C93"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5E8F621B"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3DB385A4"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lastRenderedPageBreak/>
              <w:t>This states "Payment for support and maintenance will be quarterly in arrears on foot of approved timesheets. Invoices will be submitted quarterly, with one consolidated invoice per quarter, detailing effort per system."</w:t>
            </w:r>
          </w:p>
          <w:p w14:paraId="2B1ACAA2"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3DDC6B77"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This suggests that there is no payment on any system until a full quarter has passed and that all systems must be invoiced at once in a master invoice containing all granular details of any time spent, with a substantial risk of delays to sign off/payment as thousands of line items are checked.</w:t>
            </w:r>
          </w:p>
          <w:p w14:paraId="4C137A10"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223E9CBE"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Page 9 – Section 2.2A / Lot 1 description, Page 14 AND Section 3.1, Lot 1 AND Page 14 – Section 3.1, Lot 2</w:t>
            </w:r>
          </w:p>
          <w:p w14:paraId="570FF233"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19CB6BD1"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These sections all refer to payment for the service will "be by means of separate quarterly invoices in arrears for each system" but do not specify consolidation. This is contradictory to the consolidated request in the Scope of Frameworks on page 1.</w:t>
            </w:r>
          </w:p>
          <w:p w14:paraId="2BF3E9DF"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475FEBA6"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Which of these approaches is the one that must be followed?</w:t>
            </w:r>
          </w:p>
          <w:p w14:paraId="45E01EC3"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4209086A"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Draw Down of Days</w:t>
            </w:r>
          </w:p>
          <w:p w14:paraId="6F94A1B9"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340D2088"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Four systems in Lot 1 (Appendix 1) have explicit draw-down day estimates for support:</w:t>
            </w:r>
          </w:p>
          <w:p w14:paraId="76A5D1A7"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5268E21D"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Page 40 – A1.1.3 </w:t>
            </w:r>
            <w:proofErr w:type="spellStart"/>
            <w:r w:rsidRPr="007F4174">
              <w:rPr>
                <w:rFonts w:cstheme="minorHAnsi"/>
                <w:color w:val="2F5496" w:themeColor="accent1" w:themeShade="BF"/>
                <w:sz w:val="21"/>
                <w:szCs w:val="21"/>
                <w:shd w:val="clear" w:color="auto" w:fill="FFFFFF"/>
              </w:rPr>
              <w:t>LGReturns</w:t>
            </w:r>
            <w:proofErr w:type="spellEnd"/>
            <w:r w:rsidRPr="007F4174">
              <w:rPr>
                <w:rFonts w:cstheme="minorHAnsi"/>
                <w:color w:val="2F5496" w:themeColor="accent1" w:themeShade="BF"/>
                <w:sz w:val="21"/>
                <w:szCs w:val="21"/>
                <w:shd w:val="clear" w:color="auto" w:fill="FFFFFF"/>
              </w:rPr>
              <w:t xml:space="preserve"> System / Support and Maintenance Service Requirements</w:t>
            </w:r>
          </w:p>
          <w:p w14:paraId="1CB7427C"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3D7E619E"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"Technical support of the </w:t>
            </w:r>
            <w:proofErr w:type="spellStart"/>
            <w:r w:rsidRPr="007F4174">
              <w:rPr>
                <w:rFonts w:cstheme="minorHAnsi"/>
                <w:color w:val="2F5496" w:themeColor="accent1" w:themeShade="BF"/>
                <w:sz w:val="21"/>
                <w:szCs w:val="21"/>
                <w:shd w:val="clear" w:color="auto" w:fill="FFFFFF"/>
              </w:rPr>
              <w:t>LGReturns</w:t>
            </w:r>
            <w:proofErr w:type="spellEnd"/>
            <w:r w:rsidRPr="007F4174">
              <w:rPr>
                <w:rFonts w:cstheme="minorHAnsi"/>
                <w:color w:val="2F5496" w:themeColor="accent1" w:themeShade="BF"/>
                <w:sz w:val="21"/>
                <w:szCs w:val="21"/>
                <w:shd w:val="clear" w:color="auto" w:fill="FFFFFF"/>
              </w:rPr>
              <w:t xml:space="preserve"> System will be required in the form of approximately 40 draw down days per year."</w:t>
            </w:r>
          </w:p>
          <w:p w14:paraId="3473CAAF"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59335EB5"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Page 41 – A1.1.4 Central Broker System / Support and Maintenance</w:t>
            </w:r>
          </w:p>
          <w:p w14:paraId="22C53C5E"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03A9AA3C"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"Technical support of the Central Broker System will be required in the form of </w:t>
            </w:r>
            <w:r w:rsidRPr="007F4174">
              <w:rPr>
                <w:rFonts w:cstheme="minorHAnsi"/>
                <w:color w:val="2F5496" w:themeColor="accent1" w:themeShade="BF"/>
                <w:sz w:val="21"/>
                <w:szCs w:val="21"/>
                <w:shd w:val="clear" w:color="auto" w:fill="FFFFFF"/>
              </w:rPr>
              <w:lastRenderedPageBreak/>
              <w:t>approximately 15 draw down days per year."</w:t>
            </w:r>
          </w:p>
          <w:p w14:paraId="1EF4693C"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2175E76F"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Page 42 – A1.1.5 Protect Our Water System and Household Charge Systems / Support and Maintenance Service Requirements</w:t>
            </w:r>
          </w:p>
          <w:p w14:paraId="433C4F7C"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7BC230CB"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"Technical support of the Protect Our Water System and Household Charge Systems will be required in the form of approximately 40 draw down days per year."</w:t>
            </w:r>
          </w:p>
          <w:p w14:paraId="63D6D966"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445F0F6C"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Page 47 – A1.2.1 MapRoad Asset Management System / Capacity Requirements</w:t>
            </w:r>
          </w:p>
          <w:p w14:paraId="0DDF7542"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50A22258" w14:textId="0ED95991"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Not expressed as draw-down days per </w:t>
            </w:r>
            <w:r w:rsidR="007A0A60" w:rsidRPr="007F4174">
              <w:rPr>
                <w:rFonts w:cstheme="minorHAnsi"/>
                <w:color w:val="2F5496" w:themeColor="accent1" w:themeShade="BF"/>
                <w:sz w:val="21"/>
                <w:szCs w:val="21"/>
                <w:shd w:val="clear" w:color="auto" w:fill="FFFFFF"/>
              </w:rPr>
              <w:t>say but</w:t>
            </w:r>
            <w:r w:rsidRPr="007F4174">
              <w:rPr>
                <w:rFonts w:cstheme="minorHAnsi"/>
                <w:color w:val="2F5496" w:themeColor="accent1" w:themeShade="BF"/>
                <w:sz w:val="21"/>
                <w:szCs w:val="21"/>
                <w:shd w:val="clear" w:color="auto" w:fill="FFFFFF"/>
              </w:rPr>
              <w:t xml:space="preserve"> gives the most detailed estimate: circa 500 person days for maintenance and application support services."</w:t>
            </w:r>
          </w:p>
          <w:p w14:paraId="770C5ABD"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3001FD85"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Notable omissions: MRL (A1.1.1) and NEMIS (A1.1.2) — the two systems described as accounting for circa 80 percent of the Lot 1 budget — have no specific draw-down day estimates for support, only a combined development/support range of 200–400 person days annually for MRL.</w:t>
            </w:r>
          </w:p>
          <w:p w14:paraId="5767B0B4"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3FF2DDFB" w14:textId="3C413805"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The draw down day support agreements for the systems named are clear. If they are </w:t>
            </w:r>
            <w:r w:rsidR="007A0A60" w:rsidRPr="007F4174">
              <w:rPr>
                <w:rFonts w:cstheme="minorHAnsi"/>
                <w:color w:val="2F5496" w:themeColor="accent1" w:themeShade="BF"/>
                <w:sz w:val="21"/>
                <w:szCs w:val="21"/>
                <w:shd w:val="clear" w:color="auto" w:fill="FFFFFF"/>
              </w:rPr>
              <w:t>contracted,</w:t>
            </w:r>
            <w:r w:rsidRPr="007F4174">
              <w:rPr>
                <w:rFonts w:cstheme="minorHAnsi"/>
                <w:color w:val="2F5496" w:themeColor="accent1" w:themeShade="BF"/>
                <w:sz w:val="21"/>
                <w:szCs w:val="21"/>
                <w:shd w:val="clear" w:color="auto" w:fill="FFFFFF"/>
              </w:rPr>
              <w:t xml:space="preserve"> then the vendor knows the days and resources they must commit to and plan for and they are funded. But these systems support requirements are not specified as "quarterly in arrears" as per the others.</w:t>
            </w:r>
          </w:p>
          <w:p w14:paraId="633AB1EF"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5DC9102A" w14:textId="31090F53"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Is it correct that these Lot 1 systems are to be supported on a draw-down of days and SLA basis? And the MRL and NEMIS platforms with far larger support/development requirements (suggested to be 80 percent) are to be "quarterly in arrears</w:t>
            </w:r>
            <w:r w:rsidR="007A0A60" w:rsidRPr="007F4174">
              <w:rPr>
                <w:rFonts w:cstheme="minorHAnsi"/>
                <w:color w:val="2F5496" w:themeColor="accent1" w:themeShade="BF"/>
                <w:sz w:val="21"/>
                <w:szCs w:val="21"/>
                <w:shd w:val="clear" w:color="auto" w:fill="FFFFFF"/>
              </w:rPr>
              <w:t>”?</w:t>
            </w:r>
          </w:p>
          <w:p w14:paraId="057DFC25"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4D3EC599" w14:textId="7C2AA285"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Please also confirm that any support would be expected to have an SLA with all the commitment regards staff and </w:t>
            </w:r>
            <w:r w:rsidRPr="007F4174">
              <w:rPr>
                <w:rFonts w:cstheme="minorHAnsi"/>
                <w:color w:val="2F5496" w:themeColor="accent1" w:themeShade="BF"/>
                <w:sz w:val="21"/>
                <w:szCs w:val="21"/>
                <w:shd w:val="clear" w:color="auto" w:fill="FFFFFF"/>
              </w:rPr>
              <w:lastRenderedPageBreak/>
              <w:t xml:space="preserve">response times that this would imply? The sample call out </w:t>
            </w:r>
            <w:r w:rsidR="007A0A60" w:rsidRPr="007F4174">
              <w:rPr>
                <w:rFonts w:cstheme="minorHAnsi"/>
                <w:color w:val="2F5496" w:themeColor="accent1" w:themeShade="BF"/>
                <w:sz w:val="21"/>
                <w:szCs w:val="21"/>
                <w:shd w:val="clear" w:color="auto" w:fill="FFFFFF"/>
              </w:rPr>
              <w:t>contract,</w:t>
            </w:r>
            <w:r w:rsidRPr="007F4174">
              <w:rPr>
                <w:rFonts w:cstheme="minorHAnsi"/>
                <w:color w:val="2F5496" w:themeColor="accent1" w:themeShade="BF"/>
                <w:sz w:val="21"/>
                <w:szCs w:val="21"/>
                <w:shd w:val="clear" w:color="auto" w:fill="FFFFFF"/>
              </w:rPr>
              <w:t xml:space="preserve"> nor the sample framework agreement give any indication of the service levels you expect to be covered.</w:t>
            </w:r>
          </w:p>
          <w:p w14:paraId="7C2F5439"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3EBF0026"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The practical consequences the larger systems (MRL and NEMIS) being consolidated and quarterly in arrears is significant for a contractor.</w:t>
            </w:r>
          </w:p>
          <w:p w14:paraId="40758BF2"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78868A18"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Once the first billing quarter has passed, time and materials timesheets have been collated and reviewed internally, submitted, reviewed by the LGMA (allowing time for queries to be resolved, approvals to be issued - especially if third parties are involved), the invoices submitted and paid - it can exceed 5 months before the contractor receives any payment. The amount of support provided is significant for the systems described.</w:t>
            </w:r>
          </w:p>
          <w:p w14:paraId="5C6CA9FC"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4FC21EB5" w14:textId="2F0BAE15" w:rsidR="009827C3"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This is unfairly onerous on the contractor(s) - possibly a </w:t>
            </w:r>
            <w:r w:rsidR="007A0A60" w:rsidRPr="007F4174">
              <w:rPr>
                <w:rFonts w:cstheme="minorHAnsi"/>
                <w:color w:val="2F5496" w:themeColor="accent1" w:themeShade="BF"/>
                <w:sz w:val="21"/>
                <w:szCs w:val="21"/>
                <w:shd w:val="clear" w:color="auto" w:fill="FFFFFF"/>
              </w:rPr>
              <w:t>consortium of SME’s</w:t>
            </w:r>
            <w:r w:rsidRPr="007F4174">
              <w:rPr>
                <w:rFonts w:cstheme="minorHAnsi"/>
                <w:color w:val="2F5496" w:themeColor="accent1" w:themeShade="BF"/>
                <w:sz w:val="21"/>
                <w:szCs w:val="21"/>
                <w:shd w:val="clear" w:color="auto" w:fill="FFFFFF"/>
              </w:rPr>
              <w:t xml:space="preserve"> and not a large corporate entity - to be asked to carry this level of effort and cost before being remunerated for their delivered work.</w:t>
            </w:r>
          </w:p>
          <w:p w14:paraId="6520F0C0" w14:textId="77777777" w:rsidR="009827C3" w:rsidRPr="007F4174" w:rsidRDefault="009827C3" w:rsidP="009827C3">
            <w:pPr>
              <w:spacing w:line="240" w:lineRule="auto"/>
              <w:rPr>
                <w:rFonts w:cstheme="minorHAnsi"/>
                <w:color w:val="2F5496" w:themeColor="accent1" w:themeShade="BF"/>
                <w:sz w:val="21"/>
                <w:szCs w:val="21"/>
                <w:shd w:val="clear" w:color="auto" w:fill="FFFFFF"/>
              </w:rPr>
            </w:pPr>
          </w:p>
          <w:p w14:paraId="47416B48" w14:textId="3BC0DE47" w:rsidR="00CC62D4" w:rsidRPr="007F4174" w:rsidRDefault="009827C3" w:rsidP="009827C3">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We request that the support billing terms be changed from quarterly in arrears to monthly in arrears.</w:t>
            </w:r>
          </w:p>
        </w:tc>
        <w:tc>
          <w:tcPr>
            <w:tcW w:w="4490" w:type="dxa"/>
            <w:gridSpan w:val="2"/>
          </w:tcPr>
          <w:p w14:paraId="6E588A72" w14:textId="77777777" w:rsidR="00935ACA" w:rsidRPr="007F4174" w:rsidRDefault="00935ACA" w:rsidP="00935ACA">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lastRenderedPageBreak/>
              <w:t>This is correct we are referring to 2nd Level Support</w:t>
            </w:r>
            <w:r w:rsidRPr="007F4174">
              <w:rPr>
                <w:rFonts w:ascii="Brother 1816 Light" w:eastAsia="Times New Roman" w:hAnsi="Brother 1816 Light" w:cs="Times New Roman"/>
                <w:b/>
                <w:bCs/>
                <w:color w:val="2F5496" w:themeColor="accent1" w:themeShade="BF"/>
                <w:kern w:val="2"/>
                <w:sz w:val="21"/>
                <w:szCs w:val="21"/>
                <w:shd w:val="clear" w:color="auto" w:fill="FFFFFF"/>
              </w:rPr>
              <w:t>., Lot</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1 systems are to be supported on a draw-down of days and SLA basis.</w:t>
            </w:r>
          </w:p>
          <w:p w14:paraId="32A0F7F5" w14:textId="060AFB54" w:rsidR="00935ACA" w:rsidRPr="007F4174" w:rsidRDefault="00935ACA" w:rsidP="00935ACA">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w:t>
            </w:r>
          </w:p>
          <w:p w14:paraId="64554386" w14:textId="77777777" w:rsidR="00935ACA" w:rsidRPr="007F4174" w:rsidRDefault="00935ACA" w:rsidP="00935ACA">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Development projects will be on foot of individual call-off contracts; payments schedule can be agreed individually for these contracts.</w:t>
            </w:r>
          </w:p>
          <w:p w14:paraId="136BA79B" w14:textId="77777777" w:rsidR="00935ACA" w:rsidRPr="007F4174" w:rsidRDefault="00935ACA" w:rsidP="00935ACA">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67887254" w14:textId="603981E4" w:rsidR="008B0EC3" w:rsidRPr="007F4174" w:rsidRDefault="00935ACA" w:rsidP="008B0EC3">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LGMA supports the engagement of SMEs in </w:t>
            </w:r>
            <w:r w:rsidR="008B0EC3" w:rsidRPr="007F4174">
              <w:rPr>
                <w:rFonts w:ascii="Brother 1816 Light" w:eastAsia="Times New Roman" w:hAnsi="Brother 1816 Light" w:cs="Times New Roman"/>
                <w:b/>
                <w:bCs/>
                <w:color w:val="2F5496" w:themeColor="accent1" w:themeShade="BF"/>
                <w:kern w:val="2"/>
                <w:sz w:val="21"/>
                <w:szCs w:val="21"/>
                <w:shd w:val="clear" w:color="auto" w:fill="FFFFFF"/>
              </w:rPr>
              <w:t>this type of public procurement</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and open to discussions with regards to payment scheduling once the tender exercise is completed. </w:t>
            </w:r>
          </w:p>
          <w:p w14:paraId="50406FD7" w14:textId="77777777" w:rsidR="008B0EC3" w:rsidRPr="007F4174" w:rsidRDefault="008B0EC3" w:rsidP="008B0EC3">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33BD773C" w14:textId="7896E79D" w:rsidR="00CC62D4" w:rsidRPr="007F4174" w:rsidRDefault="00935ACA" w:rsidP="008B0EC3">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Invoices are subject to </w:t>
            </w:r>
            <w:r w:rsidR="00AD2B71" w:rsidRPr="007F4174">
              <w:rPr>
                <w:rFonts w:ascii="Brother 1816 Light" w:eastAsia="Times New Roman" w:hAnsi="Brother 1816 Light" w:cs="Times New Roman"/>
                <w:b/>
                <w:bCs/>
                <w:color w:val="2F5496" w:themeColor="accent1" w:themeShade="BF"/>
                <w:kern w:val="2"/>
                <w:sz w:val="21"/>
                <w:szCs w:val="21"/>
                <w:shd w:val="clear" w:color="auto" w:fill="FFFFFF"/>
              </w:rPr>
              <w:t>“</w:t>
            </w:r>
            <w:r w:rsidRPr="007F4174">
              <w:rPr>
                <w:rFonts w:ascii="Brother 1816 Light" w:eastAsia="Times New Roman" w:hAnsi="Brother 1816 Light" w:cs="Times New Roman"/>
                <w:b/>
                <w:bCs/>
                <w:color w:val="2F5496" w:themeColor="accent1" w:themeShade="BF"/>
                <w:kern w:val="2"/>
                <w:sz w:val="21"/>
                <w:szCs w:val="21"/>
                <w:shd w:val="clear" w:color="auto" w:fill="FFFFFF"/>
              </w:rPr>
              <w:t>prompt payment</w:t>
            </w:r>
            <w:r w:rsidR="00AD2B71"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of Accounts</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Act</w:t>
            </w:r>
            <w:r w:rsidR="00AD2B71"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1997</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w:t>
            </w:r>
          </w:p>
        </w:tc>
      </w:tr>
      <w:tr w:rsidR="00CC62D4" w:rsidRPr="007F4174" w14:paraId="601037E7" w14:textId="77777777" w:rsidTr="07BFE459">
        <w:trPr>
          <w:gridAfter w:val="1"/>
          <w:wAfter w:w="12" w:type="dxa"/>
        </w:trPr>
        <w:tc>
          <w:tcPr>
            <w:tcW w:w="553" w:type="dxa"/>
          </w:tcPr>
          <w:p w14:paraId="519F56A3" w14:textId="4F198206" w:rsidR="00CC62D4" w:rsidRPr="007F4174" w:rsidRDefault="008B0EC3"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lastRenderedPageBreak/>
              <w:t>11.</w:t>
            </w:r>
          </w:p>
        </w:tc>
        <w:tc>
          <w:tcPr>
            <w:tcW w:w="3818" w:type="dxa"/>
          </w:tcPr>
          <w:p w14:paraId="31F699C6"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The RFT has two sections referring to Warranty requirements:</w:t>
            </w:r>
          </w:p>
          <w:p w14:paraId="5C75FEAB"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p>
          <w:p w14:paraId="35B7D9BD"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Page 8 – Section 2.2A (Scope of the Framework Agreements): "Both frameworks will entail the provision of ongoing support and maintenance of existing, bespoke software systems, and individual development and/or ICT consultancy services for projects relating to those systems, via call-off contracts with a minimum warranty period provided by the vendor of 90 days."</w:t>
            </w:r>
          </w:p>
          <w:p w14:paraId="6928E58C"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p>
          <w:p w14:paraId="60FB2D69"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Page 13 – Section 3.1 (Scope of Requirement under the Framework Agreements – Initial Contract): "Provide a </w:t>
            </w:r>
            <w:r w:rsidRPr="007F4174">
              <w:rPr>
                <w:rFonts w:cstheme="minorHAnsi"/>
                <w:color w:val="2F5496" w:themeColor="accent1" w:themeShade="BF"/>
                <w:sz w:val="21"/>
                <w:szCs w:val="21"/>
                <w:shd w:val="clear" w:color="auto" w:fill="FFFFFF"/>
              </w:rPr>
              <w:lastRenderedPageBreak/>
              <w:t>90-day warranty period on all live releases."</w:t>
            </w:r>
          </w:p>
          <w:p w14:paraId="1F09F129"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p>
          <w:p w14:paraId="5B756778"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The first states that a minimum warranty period is to be provided by the vendor of 90 days. "Minimum " suggests that a warranty that may exceed that (e.g. 6 months/180 days instead of 3 months is advantageous to you) while the second section just states "Provide" a 90-day warranty.</w:t>
            </w:r>
          </w:p>
          <w:p w14:paraId="420F3B90"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p>
          <w:p w14:paraId="5D6CDC67"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Neither of the Lot 1 or Lot 2 documents has a corresponding field/declaration asking the tenderer to explicitly confirm acceptance of this warranty obligation. There is nothing to state the minimum terms of the warranty and any warranty is only as good as its terms.</w:t>
            </w:r>
          </w:p>
          <w:p w14:paraId="34503422"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p>
          <w:p w14:paraId="03ECD898"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p>
          <w:p w14:paraId="303DE356"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We cannot see where the warranty offered by a tenderer is scored or be sure what section it is relevant to. Please state where this should be addressed in the TRD?</w:t>
            </w:r>
          </w:p>
          <w:p w14:paraId="514722D9" w14:textId="77777777" w:rsidR="00CA5CDF" w:rsidRPr="007F4174" w:rsidRDefault="00CA5CDF" w:rsidP="00CA5CDF">
            <w:pPr>
              <w:spacing w:line="240" w:lineRule="auto"/>
              <w:rPr>
                <w:rFonts w:cstheme="minorHAnsi"/>
                <w:color w:val="2F5496" w:themeColor="accent1" w:themeShade="BF"/>
                <w:sz w:val="21"/>
                <w:szCs w:val="21"/>
                <w:shd w:val="clear" w:color="auto" w:fill="FFFFFF"/>
              </w:rPr>
            </w:pPr>
          </w:p>
          <w:p w14:paraId="68CB94C9" w14:textId="3110B90C" w:rsidR="00CC62D4" w:rsidRPr="007F4174" w:rsidRDefault="00CA5CDF" w:rsidP="00CA5CDF">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Does the LGMA only require the most basic 90-day warranty, and the terms/duration of the warranty offered by a tenderer have no impact in the tender evaluation/scoring?</w:t>
            </w:r>
          </w:p>
        </w:tc>
        <w:tc>
          <w:tcPr>
            <w:tcW w:w="4490" w:type="dxa"/>
            <w:gridSpan w:val="2"/>
          </w:tcPr>
          <w:p w14:paraId="6517E099" w14:textId="2BCAB724" w:rsidR="00CC62D4" w:rsidRPr="007F4174" w:rsidRDefault="00CA5CDF"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lastRenderedPageBreak/>
              <w:t>Warranties are part of the support and maintenance/development services and will be assessed under Criterion "C" ("Merit of the Proposed Engagement Process") of the TRD document.</w:t>
            </w:r>
          </w:p>
        </w:tc>
      </w:tr>
      <w:tr w:rsidR="00CC62D4" w:rsidRPr="007F4174" w14:paraId="031A070E" w14:textId="77777777" w:rsidTr="07BFE459">
        <w:trPr>
          <w:gridAfter w:val="1"/>
          <w:wAfter w:w="12" w:type="dxa"/>
        </w:trPr>
        <w:tc>
          <w:tcPr>
            <w:tcW w:w="553" w:type="dxa"/>
          </w:tcPr>
          <w:p w14:paraId="693D8F74" w14:textId="1F61923D" w:rsidR="00CC62D4" w:rsidRPr="007F4174" w:rsidRDefault="00CA5CDF"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12.</w:t>
            </w:r>
          </w:p>
        </w:tc>
        <w:tc>
          <w:tcPr>
            <w:tcW w:w="3818" w:type="dxa"/>
          </w:tcPr>
          <w:p w14:paraId="631746F3" w14:textId="77777777" w:rsidR="007F1856" w:rsidRPr="007F4174" w:rsidRDefault="007F1856" w:rsidP="007F1856">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We note that in the RFT document (Page 1) the issue date of the RFT is given as 12/06/2026, but the actual publication date of the RFT on eTenders is 16/06/2026.</w:t>
            </w:r>
          </w:p>
          <w:p w14:paraId="0F09CB98" w14:textId="77777777" w:rsidR="007F1856" w:rsidRPr="007F4174" w:rsidRDefault="007F1856" w:rsidP="007F1856">
            <w:pPr>
              <w:spacing w:line="240" w:lineRule="auto"/>
              <w:rPr>
                <w:rFonts w:cstheme="minorHAnsi"/>
                <w:color w:val="2F5496" w:themeColor="accent1" w:themeShade="BF"/>
                <w:sz w:val="21"/>
                <w:szCs w:val="21"/>
                <w:shd w:val="clear" w:color="auto" w:fill="FFFFFF"/>
              </w:rPr>
            </w:pPr>
          </w:p>
          <w:p w14:paraId="05D44E9A" w14:textId="77777777" w:rsidR="007F1856" w:rsidRPr="007F4174" w:rsidRDefault="007F1856" w:rsidP="007F1856">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The reason we raise this is: assuming the deadlines for queries, and submission of the tender response are pegged to the issue date, then aligning the issue date of the RFT to the publication date would allow more time for resolving queries.</w:t>
            </w:r>
          </w:p>
          <w:p w14:paraId="3CD82F41" w14:textId="77777777" w:rsidR="007F1856" w:rsidRPr="007F4174" w:rsidRDefault="007F1856" w:rsidP="007F1856">
            <w:pPr>
              <w:spacing w:line="240" w:lineRule="auto"/>
              <w:rPr>
                <w:rFonts w:cstheme="minorHAnsi"/>
                <w:color w:val="2F5496" w:themeColor="accent1" w:themeShade="BF"/>
                <w:sz w:val="21"/>
                <w:szCs w:val="21"/>
                <w:shd w:val="clear" w:color="auto" w:fill="FFFFFF"/>
              </w:rPr>
            </w:pPr>
          </w:p>
          <w:p w14:paraId="4C99AB20" w14:textId="77777777" w:rsidR="007F1856" w:rsidRPr="007F4174" w:rsidRDefault="007F1856" w:rsidP="007F1856">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We are conscious that on the current timetable, the deadline for queries is only a few days away (Monday 29th June) and we are concerned that this may not leave time for all queries to be resolved before this cut-off. It may be vital that follow-up queries be submitted in response to your </w:t>
            </w:r>
            <w:r w:rsidRPr="007F4174">
              <w:rPr>
                <w:rFonts w:cstheme="minorHAnsi"/>
                <w:color w:val="2F5496" w:themeColor="accent1" w:themeShade="BF"/>
                <w:sz w:val="21"/>
                <w:szCs w:val="21"/>
                <w:shd w:val="clear" w:color="auto" w:fill="FFFFFF"/>
              </w:rPr>
              <w:lastRenderedPageBreak/>
              <w:t>initial answers. Some queries that have been issued are fundamental in deciding if, and how consortia or partnerships can be agreed and formed prior to bidding.</w:t>
            </w:r>
          </w:p>
          <w:p w14:paraId="3E46D4A6" w14:textId="77777777" w:rsidR="007F1856" w:rsidRPr="007F4174" w:rsidRDefault="007F1856" w:rsidP="007F1856">
            <w:pPr>
              <w:spacing w:line="240" w:lineRule="auto"/>
              <w:rPr>
                <w:rFonts w:cstheme="minorHAnsi"/>
                <w:color w:val="2F5496" w:themeColor="accent1" w:themeShade="BF"/>
                <w:sz w:val="21"/>
                <w:szCs w:val="21"/>
                <w:shd w:val="clear" w:color="auto" w:fill="FFFFFF"/>
              </w:rPr>
            </w:pPr>
          </w:p>
          <w:p w14:paraId="79B53C9D" w14:textId="3E58BEF8" w:rsidR="00CC62D4" w:rsidRPr="007F4174" w:rsidRDefault="007F1856" w:rsidP="007F1856">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In the event that the cut-off for queries passes with some substantive issues staying unresolved, how will this be handled?</w:t>
            </w:r>
          </w:p>
        </w:tc>
        <w:tc>
          <w:tcPr>
            <w:tcW w:w="4490" w:type="dxa"/>
            <w:gridSpan w:val="2"/>
          </w:tcPr>
          <w:p w14:paraId="6E2A3680" w14:textId="77777777" w:rsidR="00CF40E3" w:rsidRPr="007F4174" w:rsidRDefault="007F1856"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lastRenderedPageBreak/>
              <w:t xml:space="preserve">The documentation was submitted for publication on the </w:t>
            </w:r>
            <w:r w:rsidRPr="007F4174">
              <w:rPr>
                <w:rFonts w:ascii="Brother 1816 Light" w:eastAsia="Times New Roman" w:hAnsi="Brother 1816 Light" w:cs="Times New Roman"/>
                <w:b/>
                <w:bCs/>
                <w:color w:val="2F5496" w:themeColor="accent1" w:themeShade="BF"/>
                <w:kern w:val="2"/>
                <w:sz w:val="21"/>
                <w:szCs w:val="21"/>
                <w:shd w:val="clear" w:color="auto" w:fill="FFFFFF"/>
              </w:rPr>
              <w:t>12</w:t>
            </w:r>
            <w:r w:rsidRPr="007F4174">
              <w:rPr>
                <w:rFonts w:ascii="Brother 1816 Light" w:eastAsia="Times New Roman" w:hAnsi="Brother 1816 Light" w:cs="Times New Roman"/>
                <w:b/>
                <w:bCs/>
                <w:color w:val="2F5496" w:themeColor="accent1" w:themeShade="BF"/>
                <w:kern w:val="2"/>
                <w:sz w:val="21"/>
                <w:szCs w:val="21"/>
                <w:shd w:val="clear" w:color="auto" w:fill="FFFFFF"/>
                <w:vertAlign w:val="superscript"/>
              </w:rPr>
              <w:t>th</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of</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June and was published on the 16</w:t>
            </w:r>
            <w:r w:rsidRPr="007F4174">
              <w:rPr>
                <w:rFonts w:ascii="Brother 1816 Light" w:eastAsia="Times New Roman" w:hAnsi="Brother 1816 Light" w:cs="Times New Roman"/>
                <w:b/>
                <w:bCs/>
                <w:color w:val="2F5496" w:themeColor="accent1" w:themeShade="BF"/>
                <w:kern w:val="2"/>
                <w:sz w:val="21"/>
                <w:szCs w:val="21"/>
                <w:shd w:val="clear" w:color="auto" w:fill="FFFFFF"/>
                <w:vertAlign w:val="superscript"/>
              </w:rPr>
              <w:t>th</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of </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June. </w:t>
            </w:r>
          </w:p>
          <w:p w14:paraId="2D420313" w14:textId="77777777" w:rsidR="00CF40E3" w:rsidRPr="007F4174" w:rsidRDefault="00CF40E3"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38E34D52" w14:textId="0D721F74" w:rsidR="00CC62D4" w:rsidRPr="007F4174" w:rsidRDefault="00CF40E3"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However, the deadline for submission remains </w:t>
            </w:r>
            <w:r w:rsidR="008727F0"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as </w:t>
            </w:r>
            <w:r w:rsidR="009605AC" w:rsidRPr="007F4174">
              <w:rPr>
                <w:rFonts w:ascii="Brother 1816 Light" w:eastAsia="Times New Roman" w:hAnsi="Brother 1816 Light" w:cs="Times New Roman"/>
                <w:b/>
                <w:bCs/>
                <w:color w:val="2F5496" w:themeColor="accent1" w:themeShade="BF"/>
                <w:kern w:val="2"/>
                <w:sz w:val="21"/>
                <w:szCs w:val="21"/>
                <w:shd w:val="clear" w:color="auto" w:fill="FFFFFF"/>
              </w:rPr>
              <w:t>- 17</w:t>
            </w:r>
            <w:r w:rsidRPr="007F4174">
              <w:rPr>
                <w:rFonts w:ascii="Brother 1816 Light" w:hAnsi="Brother 1816 Light"/>
                <w:b/>
                <w:bCs/>
                <w:color w:val="2F5496" w:themeColor="accent1" w:themeShade="BF"/>
                <w:sz w:val="21"/>
                <w:szCs w:val="21"/>
                <w:shd w:val="clear" w:color="auto" w:fill="FFFFFF"/>
              </w:rPr>
              <w:t xml:space="preserve">:00 hours on Tuesday, </w:t>
            </w:r>
            <w:r w:rsidRPr="007F4174">
              <w:rPr>
                <w:rFonts w:ascii="Brother 1816 Light" w:hAnsi="Brother 1816 Light"/>
                <w:b/>
                <w:bCs/>
                <w:color w:val="2F5496" w:themeColor="accent1" w:themeShade="BF"/>
                <w:sz w:val="21"/>
                <w:szCs w:val="21"/>
                <w:shd w:val="clear" w:color="auto" w:fill="FFFFFF"/>
              </w:rPr>
              <w:t xml:space="preserve">the </w:t>
            </w:r>
            <w:r w:rsidRPr="007F4174">
              <w:rPr>
                <w:rFonts w:ascii="Brother 1816 Light" w:hAnsi="Brother 1816 Light"/>
                <w:b/>
                <w:bCs/>
                <w:color w:val="2F5496" w:themeColor="accent1" w:themeShade="BF"/>
                <w:sz w:val="21"/>
                <w:szCs w:val="21"/>
                <w:shd w:val="clear" w:color="auto" w:fill="FFFFFF"/>
              </w:rPr>
              <w:t>14</w:t>
            </w:r>
            <w:r w:rsidRPr="007F4174">
              <w:rPr>
                <w:rFonts w:ascii="Brother 1816 Light" w:hAnsi="Brother 1816 Light"/>
                <w:b/>
                <w:bCs/>
                <w:color w:val="2F5496" w:themeColor="accent1" w:themeShade="BF"/>
                <w:sz w:val="21"/>
                <w:szCs w:val="21"/>
                <w:shd w:val="clear" w:color="auto" w:fill="FFFFFF"/>
                <w:vertAlign w:val="superscript"/>
              </w:rPr>
              <w:t>th</w:t>
            </w:r>
            <w:r w:rsidRPr="007F4174">
              <w:rPr>
                <w:rFonts w:ascii="Brother 1816 Light" w:hAnsi="Brother 1816 Light"/>
                <w:b/>
                <w:bCs/>
                <w:color w:val="2F5496" w:themeColor="accent1" w:themeShade="BF"/>
                <w:sz w:val="21"/>
                <w:szCs w:val="21"/>
                <w:shd w:val="clear" w:color="auto" w:fill="FFFFFF"/>
              </w:rPr>
              <w:t xml:space="preserve"> of</w:t>
            </w:r>
            <w:r w:rsidRPr="007F4174">
              <w:rPr>
                <w:rFonts w:ascii="Brother 1816 Light" w:hAnsi="Brother 1816 Light"/>
                <w:b/>
                <w:bCs/>
                <w:color w:val="2F5496" w:themeColor="accent1" w:themeShade="BF"/>
                <w:sz w:val="21"/>
                <w:szCs w:val="21"/>
                <w:shd w:val="clear" w:color="auto" w:fill="FFFFFF"/>
              </w:rPr>
              <w:t xml:space="preserve"> July 2026</w:t>
            </w:r>
          </w:p>
        </w:tc>
      </w:tr>
      <w:tr w:rsidR="00CC62D4" w:rsidRPr="007F4174" w14:paraId="354AA33E" w14:textId="77777777" w:rsidTr="07BFE459">
        <w:trPr>
          <w:gridAfter w:val="1"/>
          <w:wAfter w:w="12" w:type="dxa"/>
        </w:trPr>
        <w:tc>
          <w:tcPr>
            <w:tcW w:w="553" w:type="dxa"/>
          </w:tcPr>
          <w:p w14:paraId="188D4369" w14:textId="6BEC2C35" w:rsidR="00CC62D4" w:rsidRPr="007F4174" w:rsidRDefault="009605AC"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13.</w:t>
            </w:r>
          </w:p>
        </w:tc>
        <w:tc>
          <w:tcPr>
            <w:tcW w:w="3818" w:type="dxa"/>
          </w:tcPr>
          <w:p w14:paraId="5056ECBF" w14:textId="4A6D5EB1" w:rsidR="009605AC" w:rsidRPr="007F4174" w:rsidRDefault="009605AC" w:rsidP="009605A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In Section 2.9 of the RFT, pages 11-12 on compliance with the framework agreement terms and conditions it</w:t>
            </w:r>
            <w:r w:rsidRPr="007F4174">
              <w:rPr>
                <w:rFonts w:cstheme="minorHAnsi"/>
                <w:color w:val="2F5496" w:themeColor="accent1" w:themeShade="BF"/>
                <w:sz w:val="21"/>
                <w:szCs w:val="21"/>
                <w:shd w:val="clear" w:color="auto" w:fill="FFFFFF"/>
              </w:rPr>
              <w:t xml:space="preserve"> </w:t>
            </w:r>
            <w:proofErr w:type="gramStart"/>
            <w:r w:rsidRPr="007F4174">
              <w:rPr>
                <w:rFonts w:cstheme="minorHAnsi"/>
                <w:color w:val="2F5496" w:themeColor="accent1" w:themeShade="BF"/>
                <w:sz w:val="21"/>
                <w:szCs w:val="21"/>
                <w:shd w:val="clear" w:color="auto" w:fill="FFFFFF"/>
              </w:rPr>
              <w:t>states:-</w:t>
            </w:r>
            <w:proofErr w:type="gramEnd"/>
          </w:p>
          <w:p w14:paraId="31C52FFB" w14:textId="77777777" w:rsidR="009605AC" w:rsidRPr="007F4174" w:rsidRDefault="009605AC" w:rsidP="009605AC">
            <w:pPr>
              <w:spacing w:line="240" w:lineRule="auto"/>
              <w:rPr>
                <w:rFonts w:cstheme="minorHAnsi"/>
                <w:color w:val="2F5496" w:themeColor="accent1" w:themeShade="BF"/>
                <w:sz w:val="21"/>
                <w:szCs w:val="21"/>
                <w:shd w:val="clear" w:color="auto" w:fill="FFFFFF"/>
              </w:rPr>
            </w:pPr>
          </w:p>
          <w:p w14:paraId="74CE8CCB" w14:textId="77777777" w:rsidR="009605AC" w:rsidRPr="007F4174" w:rsidRDefault="009605AC" w:rsidP="009605A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Tenderers are required to review these terms and conditions and indicate their acceptance thereof as part of their tender submission. Any reservation with regard to these terms should be submitted as a query in accordance with the procedure described in the Section below in the Instructions to Tenderers of this document.</w:t>
            </w:r>
          </w:p>
          <w:p w14:paraId="32FC3511" w14:textId="77777777" w:rsidR="009605AC" w:rsidRPr="007F4174" w:rsidRDefault="009605AC" w:rsidP="009605AC">
            <w:pPr>
              <w:spacing w:line="240" w:lineRule="auto"/>
              <w:rPr>
                <w:rFonts w:cstheme="minorHAnsi"/>
                <w:color w:val="2F5496" w:themeColor="accent1" w:themeShade="BF"/>
                <w:sz w:val="21"/>
                <w:szCs w:val="21"/>
                <w:shd w:val="clear" w:color="auto" w:fill="FFFFFF"/>
              </w:rPr>
            </w:pPr>
          </w:p>
          <w:p w14:paraId="108CA79E" w14:textId="346B0516" w:rsidR="009605AC" w:rsidRPr="007F4174" w:rsidRDefault="009605AC" w:rsidP="009605A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However, on the cover of the Sample Single Vendor Framework, it </w:t>
            </w:r>
            <w:r w:rsidRPr="007F4174">
              <w:rPr>
                <w:rFonts w:cstheme="minorHAnsi"/>
                <w:color w:val="2F5496" w:themeColor="accent1" w:themeShade="BF"/>
                <w:sz w:val="21"/>
                <w:szCs w:val="21"/>
                <w:shd w:val="clear" w:color="auto" w:fill="FFFFFF"/>
              </w:rPr>
              <w:t>states: -</w:t>
            </w:r>
          </w:p>
          <w:p w14:paraId="7F071516" w14:textId="77777777" w:rsidR="009605AC" w:rsidRPr="007F4174" w:rsidRDefault="009605AC" w:rsidP="009605AC">
            <w:pPr>
              <w:spacing w:line="240" w:lineRule="auto"/>
              <w:rPr>
                <w:rFonts w:cstheme="minorHAnsi"/>
                <w:color w:val="2F5496" w:themeColor="accent1" w:themeShade="BF"/>
                <w:sz w:val="21"/>
                <w:szCs w:val="21"/>
                <w:shd w:val="clear" w:color="auto" w:fill="FFFFFF"/>
              </w:rPr>
            </w:pPr>
          </w:p>
          <w:p w14:paraId="4DC0F224" w14:textId="77777777" w:rsidR="009605AC" w:rsidRPr="007F4174" w:rsidRDefault="009605AC" w:rsidP="009605A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Economic Operators are not required to submit a signed copy of these terms as part of their tender but should indicate any objections which they may have to these terms in the body of their tender.</w:t>
            </w:r>
          </w:p>
          <w:p w14:paraId="7E16205F" w14:textId="77777777" w:rsidR="009605AC" w:rsidRPr="007F4174" w:rsidRDefault="009605AC" w:rsidP="009605AC">
            <w:pPr>
              <w:spacing w:line="240" w:lineRule="auto"/>
              <w:rPr>
                <w:rFonts w:cstheme="minorHAnsi"/>
                <w:color w:val="2F5496" w:themeColor="accent1" w:themeShade="BF"/>
                <w:sz w:val="21"/>
                <w:szCs w:val="21"/>
                <w:shd w:val="clear" w:color="auto" w:fill="FFFFFF"/>
              </w:rPr>
            </w:pPr>
          </w:p>
          <w:p w14:paraId="31E4DFCA" w14:textId="77777777" w:rsidR="009605AC" w:rsidRPr="007F4174" w:rsidRDefault="009605AC" w:rsidP="009605A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Which instruction do we follow for this tender? The one in the RFT or the one on the cover of the sample?</w:t>
            </w:r>
          </w:p>
          <w:p w14:paraId="346A04DA" w14:textId="77777777" w:rsidR="009605AC" w:rsidRPr="007F4174" w:rsidRDefault="009605AC" w:rsidP="009605AC">
            <w:pPr>
              <w:spacing w:line="240" w:lineRule="auto"/>
              <w:rPr>
                <w:rFonts w:cstheme="minorHAnsi"/>
                <w:color w:val="2F5496" w:themeColor="accent1" w:themeShade="BF"/>
                <w:sz w:val="21"/>
                <w:szCs w:val="21"/>
                <w:shd w:val="clear" w:color="auto" w:fill="FFFFFF"/>
              </w:rPr>
            </w:pPr>
          </w:p>
          <w:p w14:paraId="418EC964" w14:textId="77777777" w:rsidR="00CC62D4" w:rsidRPr="007F4174" w:rsidRDefault="009605AC" w:rsidP="009605AC">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We strongly suggest that objections may have to be itemised in the body of the tender response – in line with the instruction on the sample framework. Our concern is that we do not believe that there will be time to resolve all of the objections in the few days left for the submission of queries.</w:t>
            </w:r>
          </w:p>
          <w:p w14:paraId="7E5FC3C6" w14:textId="6248E913" w:rsidR="006042FC" w:rsidRPr="007F4174" w:rsidRDefault="006042FC" w:rsidP="009605AC">
            <w:pPr>
              <w:spacing w:line="240" w:lineRule="auto"/>
              <w:rPr>
                <w:rFonts w:cstheme="minorHAnsi"/>
                <w:color w:val="2F5496" w:themeColor="accent1" w:themeShade="BF"/>
                <w:sz w:val="21"/>
                <w:szCs w:val="21"/>
                <w:shd w:val="clear" w:color="auto" w:fill="FFFFFF"/>
              </w:rPr>
            </w:pPr>
          </w:p>
        </w:tc>
        <w:tc>
          <w:tcPr>
            <w:tcW w:w="4490" w:type="dxa"/>
            <w:gridSpan w:val="2"/>
          </w:tcPr>
          <w:p w14:paraId="513F9FC8" w14:textId="77777777" w:rsidR="00CC62D4" w:rsidRPr="007F4174" w:rsidRDefault="00CC62D4" w:rsidP="00FC1AF7">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3845456A" w14:textId="77777777" w:rsidR="006042FC" w:rsidRPr="007F4174" w:rsidRDefault="006042FC" w:rsidP="006042FC">
            <w:pPr>
              <w:rPr>
                <w:rFonts w:ascii="Brother 1816 Light" w:eastAsia="Times New Roman" w:hAnsi="Brother 1816 Light" w:cs="Times New Roman"/>
                <w:color w:val="2F5496" w:themeColor="accent1" w:themeShade="BF"/>
                <w:sz w:val="21"/>
                <w:szCs w:val="21"/>
              </w:rPr>
            </w:pPr>
          </w:p>
          <w:p w14:paraId="049BAE75" w14:textId="77777777" w:rsidR="006042FC" w:rsidRPr="007F4174" w:rsidRDefault="006042FC" w:rsidP="006042FC">
            <w:pPr>
              <w:rPr>
                <w:rFonts w:ascii="Brother 1816 Light" w:eastAsia="Times New Roman" w:hAnsi="Brother 1816 Light" w:cs="Times New Roman"/>
                <w:b/>
                <w:bCs/>
                <w:color w:val="2F5496" w:themeColor="accent1" w:themeShade="BF"/>
                <w:kern w:val="2"/>
                <w:sz w:val="21"/>
                <w:szCs w:val="21"/>
                <w:shd w:val="clear" w:color="auto" w:fill="FFFFFF"/>
              </w:rPr>
            </w:pPr>
          </w:p>
          <w:p w14:paraId="528D3140" w14:textId="6E3819CD" w:rsidR="006042FC" w:rsidRPr="007F4174" w:rsidRDefault="006042FC" w:rsidP="006042FC">
            <w:pPr>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sz w:val="21"/>
                <w:szCs w:val="21"/>
              </w:rPr>
              <w:t>Tenderers should follow the instructions in the RFT, noting that the framework and call-off contracts are samples and will be subject to final agreement post award. Where a successful tenderer has an issue with any term of the proposed agreement/contract these can be discussed and agreed prior to signing. Where agreement cannot be reached the award may be cancelled.</w:t>
            </w:r>
          </w:p>
          <w:p w14:paraId="650E3E21" w14:textId="77777777" w:rsidR="006042FC" w:rsidRPr="007F4174" w:rsidRDefault="006042FC" w:rsidP="006042FC">
            <w:pPr>
              <w:rPr>
                <w:rFonts w:ascii="Brother 1816 Light" w:eastAsia="Times New Roman" w:hAnsi="Brother 1816 Light" w:cs="Times New Roman"/>
                <w:b/>
                <w:bCs/>
                <w:color w:val="2F5496" w:themeColor="accent1" w:themeShade="BF"/>
                <w:kern w:val="2"/>
                <w:sz w:val="21"/>
                <w:szCs w:val="21"/>
                <w:shd w:val="clear" w:color="auto" w:fill="FFFFFF"/>
              </w:rPr>
            </w:pPr>
          </w:p>
          <w:p w14:paraId="3AE66F5A" w14:textId="72B7F6F4" w:rsidR="006042FC" w:rsidRPr="007F4174" w:rsidRDefault="006042FC" w:rsidP="006042FC">
            <w:pPr>
              <w:tabs>
                <w:tab w:val="left" w:pos="1020"/>
              </w:tabs>
              <w:rPr>
                <w:rFonts w:ascii="Brother 1816 Light" w:eastAsia="Times New Roman" w:hAnsi="Brother 1816 Light" w:cs="Times New Roman"/>
                <w:color w:val="2F5496" w:themeColor="accent1" w:themeShade="BF"/>
                <w:sz w:val="21"/>
                <w:szCs w:val="21"/>
              </w:rPr>
            </w:pPr>
          </w:p>
        </w:tc>
      </w:tr>
      <w:tr w:rsidR="00CC62D4" w:rsidRPr="007F4174" w14:paraId="57BC9F1A" w14:textId="77777777" w:rsidTr="07BFE459">
        <w:trPr>
          <w:gridAfter w:val="1"/>
          <w:wAfter w:w="12" w:type="dxa"/>
        </w:trPr>
        <w:tc>
          <w:tcPr>
            <w:tcW w:w="553" w:type="dxa"/>
          </w:tcPr>
          <w:p w14:paraId="4D582B8D" w14:textId="40A08A8B" w:rsidR="00CC62D4" w:rsidRPr="007F4174" w:rsidRDefault="006042FC"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14.</w:t>
            </w:r>
          </w:p>
        </w:tc>
        <w:tc>
          <w:tcPr>
            <w:tcW w:w="3818" w:type="dxa"/>
          </w:tcPr>
          <w:p w14:paraId="747F8B6D"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Page 15 – Criterion C (p.27): This gives a detailed summary of the role, activities and responsibilities LGMA requires of a "Contract Manager".</w:t>
            </w:r>
          </w:p>
          <w:p w14:paraId="5C14C789"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p>
          <w:p w14:paraId="2437C530"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lastRenderedPageBreak/>
              <w:t>Is this the same role as Account Manager, as described in Page 20-21 – Section 5.1, Criterion C (Lot 1 Award Criteria) / Page 22-23 – Section 5.2, Criterion C (Lot 2 Award Criteria)</w:t>
            </w:r>
          </w:p>
          <w:p w14:paraId="0A9483EE"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p>
          <w:p w14:paraId="7E95EB7E"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The Tender Response Documents have no reference to "Contract Manager", they only refer to "Account Manager" in Personnel and Skills (p.12) and Criterion C (p.27).</w:t>
            </w:r>
          </w:p>
          <w:p w14:paraId="58783D27"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p>
          <w:p w14:paraId="17CEEF17"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Please confirm if the required mandatory role of Contract Manager in the RFT is analogous to the Account Manager role found in the Lot 1 TRD document?</w:t>
            </w:r>
          </w:p>
          <w:p w14:paraId="78B70ABC"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p>
          <w:p w14:paraId="2123D625"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Please also confirm that the description of Contract Management and the Contract Manager role in the RFT (Criterion C p.27) is the overriding description that must be demonstrated when completing the Lot 1 or Lot 2 TRD's in respect of the Account Manager role?</w:t>
            </w:r>
          </w:p>
          <w:p w14:paraId="76DB090D"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p>
          <w:p w14:paraId="4BF74017"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The tender says that the non-billable "Contract Manager" will have duties to cover the following:</w:t>
            </w:r>
          </w:p>
          <w:p w14:paraId="6762A2AC"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p>
          <w:p w14:paraId="4E07850A"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Single dedicated point of contact for the duration of the frameworks</w:t>
            </w:r>
          </w:p>
          <w:p w14:paraId="1187A155"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Authority to deal with all contract-related matters</w:t>
            </w:r>
          </w:p>
          <w:p w14:paraId="1B450569"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Overall responsibility for the working relationship with the LGMA</w:t>
            </w:r>
          </w:p>
          <w:p w14:paraId="41ED4438"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Regular performance reporting (as agreed with LGMA)</w:t>
            </w:r>
          </w:p>
          <w:p w14:paraId="465EDF3A"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Attend meetings to review performance against SLA and KPIs</w:t>
            </w:r>
          </w:p>
          <w:p w14:paraId="40A68777"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Handle disputes, complaints or concerns that cannot be resolved at a lower level</w:t>
            </w:r>
          </w:p>
          <w:p w14:paraId="4FA7C070"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Proactively suggest efficiency improvements and cost savings</w:t>
            </w:r>
          </w:p>
          <w:p w14:paraId="718E6B37"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Who on the LGMA side will the "Contract Manager" report to? Please confirm that this is a senior role with reporting to a nominated representative of </w:t>
            </w:r>
            <w:proofErr w:type="spellStart"/>
            <w:r w:rsidRPr="007F4174">
              <w:rPr>
                <w:rFonts w:cstheme="minorHAnsi"/>
                <w:color w:val="2F5496" w:themeColor="accent1" w:themeShade="BF"/>
                <w:sz w:val="21"/>
                <w:szCs w:val="21"/>
                <w:shd w:val="clear" w:color="auto" w:fill="FFFFFF"/>
              </w:rPr>
              <w:t>similiar</w:t>
            </w:r>
            <w:proofErr w:type="spellEnd"/>
            <w:r w:rsidRPr="007F4174">
              <w:rPr>
                <w:rFonts w:cstheme="minorHAnsi"/>
                <w:color w:val="2F5496" w:themeColor="accent1" w:themeShade="BF"/>
                <w:sz w:val="21"/>
                <w:szCs w:val="21"/>
                <w:shd w:val="clear" w:color="auto" w:fill="FFFFFF"/>
              </w:rPr>
              <w:t xml:space="preserve"> responsibility in the LGMA.</w:t>
            </w:r>
          </w:p>
          <w:p w14:paraId="7FB417B6" w14:textId="77777777" w:rsidR="005A51A5" w:rsidRPr="007F4174" w:rsidRDefault="005A51A5" w:rsidP="005A51A5">
            <w:pPr>
              <w:spacing w:line="240" w:lineRule="auto"/>
              <w:rPr>
                <w:rFonts w:cstheme="minorHAnsi"/>
                <w:color w:val="2F5496" w:themeColor="accent1" w:themeShade="BF"/>
                <w:sz w:val="21"/>
                <w:szCs w:val="21"/>
                <w:shd w:val="clear" w:color="auto" w:fill="FFFFFF"/>
              </w:rPr>
            </w:pPr>
          </w:p>
          <w:p w14:paraId="4A8B90B2" w14:textId="3AFE8F56" w:rsidR="00CC62D4" w:rsidRPr="007F4174" w:rsidRDefault="005A51A5" w:rsidP="005A51A5">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 xml:space="preserve">If not, please identify the number of people that the Contract Manager would </w:t>
            </w:r>
            <w:r w:rsidRPr="007F4174">
              <w:rPr>
                <w:rFonts w:cstheme="minorHAnsi"/>
                <w:color w:val="2F5496" w:themeColor="accent1" w:themeShade="BF"/>
                <w:sz w:val="21"/>
                <w:szCs w:val="21"/>
                <w:shd w:val="clear" w:color="auto" w:fill="FFFFFF"/>
              </w:rPr>
              <w:lastRenderedPageBreak/>
              <w:t>be reporting to and how frequently this is envisaged to occur?</w:t>
            </w:r>
          </w:p>
        </w:tc>
        <w:tc>
          <w:tcPr>
            <w:tcW w:w="4490" w:type="dxa"/>
            <w:gridSpan w:val="2"/>
          </w:tcPr>
          <w:p w14:paraId="6E4B6412" w14:textId="77777777" w:rsidR="005A51A5" w:rsidRPr="007F4174" w:rsidRDefault="005A51A5" w:rsidP="005A51A5">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lastRenderedPageBreak/>
              <w:t xml:space="preserve">Yes, "Account manager" &amp; "Contract manager" are treated as synonymous in the context of this tender.   </w:t>
            </w:r>
          </w:p>
          <w:p w14:paraId="5D4AEE9D" w14:textId="77777777" w:rsidR="005A51A5" w:rsidRPr="007F4174" w:rsidRDefault="005A51A5" w:rsidP="005A51A5">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673AD9A6" w14:textId="1DE98165" w:rsidR="00CC62D4" w:rsidRPr="007F4174" w:rsidRDefault="005A51A5" w:rsidP="005A51A5">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lastRenderedPageBreak/>
              <w:t xml:space="preserve">They will be reporting to a nominated representative of </w:t>
            </w:r>
            <w:r w:rsidRPr="007F4174">
              <w:rPr>
                <w:rFonts w:ascii="Brother 1816 Light" w:eastAsia="Times New Roman" w:hAnsi="Brother 1816 Light" w:cs="Times New Roman"/>
                <w:b/>
                <w:bCs/>
                <w:color w:val="2F5496" w:themeColor="accent1" w:themeShade="BF"/>
                <w:kern w:val="2"/>
                <w:sz w:val="21"/>
                <w:szCs w:val="21"/>
                <w:shd w:val="clear" w:color="auto" w:fill="FFFFFF"/>
              </w:rPr>
              <w:t>similar</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responsibility in the LGMA.</w:t>
            </w:r>
          </w:p>
        </w:tc>
      </w:tr>
      <w:tr w:rsidR="00CC62D4" w:rsidRPr="007F4174" w14:paraId="495CBB72" w14:textId="77777777" w:rsidTr="07BFE459">
        <w:trPr>
          <w:gridAfter w:val="1"/>
          <w:wAfter w:w="12" w:type="dxa"/>
        </w:trPr>
        <w:tc>
          <w:tcPr>
            <w:tcW w:w="553" w:type="dxa"/>
          </w:tcPr>
          <w:p w14:paraId="59D4251C" w14:textId="18303ADF" w:rsidR="00CC62D4" w:rsidRPr="007F4174" w:rsidRDefault="00661EA9"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lastRenderedPageBreak/>
              <w:t>15.</w:t>
            </w:r>
          </w:p>
        </w:tc>
        <w:tc>
          <w:tcPr>
            <w:tcW w:w="3818" w:type="dxa"/>
          </w:tcPr>
          <w:p w14:paraId="7EF6657D" w14:textId="77777777" w:rsidR="00661EA9" w:rsidRPr="007F4174" w:rsidRDefault="00661EA9" w:rsidP="00661EA9">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Both the Sample Vendor Framework and the Sample Call-Off Contract PDF documents give the order of precedence for supporting documents to be applied in the event of a conflict between them.</w:t>
            </w:r>
          </w:p>
          <w:p w14:paraId="4DA07215" w14:textId="77777777" w:rsidR="00661EA9" w:rsidRPr="007F4174" w:rsidRDefault="00661EA9" w:rsidP="00661EA9">
            <w:pPr>
              <w:spacing w:line="240" w:lineRule="auto"/>
              <w:rPr>
                <w:rFonts w:cstheme="minorHAnsi"/>
                <w:color w:val="2F5496" w:themeColor="accent1" w:themeShade="BF"/>
                <w:sz w:val="21"/>
                <w:szCs w:val="21"/>
                <w:shd w:val="clear" w:color="auto" w:fill="FFFFFF"/>
              </w:rPr>
            </w:pPr>
          </w:p>
          <w:p w14:paraId="1F456B45" w14:textId="77777777" w:rsidR="00661EA9" w:rsidRPr="007F4174" w:rsidRDefault="00661EA9" w:rsidP="00661EA9">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This order of precedence is different for the two documents (see attached PDF with a table summarising the documents and precedence). We do not see how this can work in practice.</w:t>
            </w:r>
          </w:p>
          <w:p w14:paraId="4530EF29" w14:textId="77777777" w:rsidR="00661EA9" w:rsidRPr="007F4174" w:rsidRDefault="00661EA9" w:rsidP="00661EA9">
            <w:pPr>
              <w:spacing w:line="240" w:lineRule="auto"/>
              <w:rPr>
                <w:rFonts w:cstheme="minorHAnsi"/>
                <w:color w:val="2F5496" w:themeColor="accent1" w:themeShade="BF"/>
                <w:sz w:val="21"/>
                <w:szCs w:val="21"/>
                <w:shd w:val="clear" w:color="auto" w:fill="FFFFFF"/>
              </w:rPr>
            </w:pPr>
          </w:p>
          <w:p w14:paraId="3AA0942A" w14:textId="0153E179" w:rsidR="00CC62D4" w:rsidRPr="007F4174" w:rsidRDefault="00661EA9" w:rsidP="00661EA9">
            <w:pPr>
              <w:spacing w:line="240" w:lineRule="auto"/>
              <w:rPr>
                <w:rFonts w:cstheme="minorHAnsi"/>
                <w:color w:val="2F5496" w:themeColor="accent1" w:themeShade="BF"/>
                <w:sz w:val="21"/>
                <w:szCs w:val="21"/>
                <w:shd w:val="clear" w:color="auto" w:fill="FFFFFF"/>
              </w:rPr>
            </w:pPr>
            <w:r w:rsidRPr="007F4174">
              <w:rPr>
                <w:rFonts w:cstheme="minorHAnsi"/>
                <w:color w:val="2F5496" w:themeColor="accent1" w:themeShade="BF"/>
                <w:sz w:val="21"/>
                <w:szCs w:val="21"/>
                <w:shd w:val="clear" w:color="auto" w:fill="FFFFFF"/>
              </w:rPr>
              <w:t>Could you either a) elaborate on how this is intended work in practice or b) indicate which is the correct order of precedence to be applied across the programme as a whole?</w:t>
            </w:r>
          </w:p>
        </w:tc>
        <w:tc>
          <w:tcPr>
            <w:tcW w:w="4490" w:type="dxa"/>
            <w:gridSpan w:val="2"/>
          </w:tcPr>
          <w:p w14:paraId="14995951" w14:textId="29241F69" w:rsidR="00661EA9" w:rsidRPr="007F4174" w:rsidRDefault="00661EA9" w:rsidP="00661EA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This is intended to work as </w:t>
            </w:r>
            <w:r w:rsidRPr="007F4174">
              <w:rPr>
                <w:rFonts w:ascii="Brother 1816 Light" w:eastAsia="Times New Roman" w:hAnsi="Brother 1816 Light" w:cs="Times New Roman"/>
                <w:b/>
                <w:bCs/>
                <w:color w:val="2F5496" w:themeColor="accent1" w:themeShade="BF"/>
                <w:kern w:val="2"/>
                <w:sz w:val="21"/>
                <w:szCs w:val="21"/>
                <w:shd w:val="clear" w:color="auto" w:fill="FFFFFF"/>
              </w:rPr>
              <w:t>follows: -</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w:t>
            </w:r>
          </w:p>
          <w:p w14:paraId="5A04236F" w14:textId="77777777" w:rsidR="00661EA9" w:rsidRPr="007F4174" w:rsidRDefault="00661EA9" w:rsidP="00661EA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6BD03D34" w14:textId="77777777" w:rsidR="00661EA9" w:rsidRPr="007F4174" w:rsidRDefault="00661EA9" w:rsidP="00661EA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If the conflict arises from the interpretation of the Framework agreement, then apply the order of precedence from the Framework document.</w:t>
            </w:r>
          </w:p>
          <w:p w14:paraId="2EC8D29A" w14:textId="77777777" w:rsidR="00661EA9" w:rsidRPr="007F4174" w:rsidRDefault="00661EA9" w:rsidP="00661EA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p>
          <w:p w14:paraId="3D60E5CD" w14:textId="10D9F355" w:rsidR="00CC62D4" w:rsidRPr="007F4174" w:rsidRDefault="00661EA9" w:rsidP="00661EA9">
            <w:pPr>
              <w:spacing w:line="240" w:lineRule="auto"/>
              <w:jc w:val="both"/>
              <w:rPr>
                <w:rFonts w:ascii="Brother 1816 Light" w:eastAsia="Times New Roman" w:hAnsi="Brother 1816 Light" w:cs="Times New Roman"/>
                <w:b/>
                <w:bCs/>
                <w:color w:val="2F5496" w:themeColor="accent1" w:themeShade="BF"/>
                <w:kern w:val="2"/>
                <w:sz w:val="21"/>
                <w:szCs w:val="21"/>
                <w:shd w:val="clear" w:color="auto" w:fill="FFFFFF"/>
              </w:rPr>
            </w:pP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If the conflict arises from the interpretation of the Call-off </w:t>
            </w:r>
            <w:r w:rsidRPr="007F4174">
              <w:rPr>
                <w:rFonts w:ascii="Brother 1816 Light" w:eastAsia="Times New Roman" w:hAnsi="Brother 1816 Light" w:cs="Times New Roman"/>
                <w:b/>
                <w:bCs/>
                <w:color w:val="2F5496" w:themeColor="accent1" w:themeShade="BF"/>
                <w:kern w:val="2"/>
                <w:sz w:val="21"/>
                <w:szCs w:val="21"/>
                <w:shd w:val="clear" w:color="auto" w:fill="FFFFFF"/>
              </w:rPr>
              <w:t>Contract,</w:t>
            </w:r>
            <w:r w:rsidRPr="007F4174">
              <w:rPr>
                <w:rFonts w:ascii="Brother 1816 Light" w:eastAsia="Times New Roman" w:hAnsi="Brother 1816 Light" w:cs="Times New Roman"/>
                <w:b/>
                <w:bCs/>
                <w:color w:val="2F5496" w:themeColor="accent1" w:themeShade="BF"/>
                <w:kern w:val="2"/>
                <w:sz w:val="21"/>
                <w:szCs w:val="21"/>
                <w:shd w:val="clear" w:color="auto" w:fill="FFFFFF"/>
              </w:rPr>
              <w:t xml:space="preserve"> then apply the order of precedence from the Call-off contract document.</w:t>
            </w:r>
          </w:p>
        </w:tc>
      </w:tr>
      <w:tr w:rsidR="00485A1E" w:rsidRPr="007F4174" w14:paraId="4A7C712C" w14:textId="77777777" w:rsidTr="07BFE459">
        <w:trPr>
          <w:gridAfter w:val="1"/>
          <w:wAfter w:w="12" w:type="dxa"/>
        </w:trPr>
        <w:tc>
          <w:tcPr>
            <w:tcW w:w="553" w:type="dxa"/>
          </w:tcPr>
          <w:p w14:paraId="27B1FD4E" w14:textId="03E22C4B" w:rsidR="00485A1E" w:rsidRPr="007F4174" w:rsidRDefault="00D951DE"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t>16.</w:t>
            </w:r>
          </w:p>
        </w:tc>
        <w:tc>
          <w:tcPr>
            <w:tcW w:w="3818" w:type="dxa"/>
          </w:tcPr>
          <w:p w14:paraId="06D77208" w14:textId="77777777" w:rsidR="00D951DE" w:rsidRPr="007F4174" w:rsidRDefault="00D951DE" w:rsidP="00D951DE">
            <w:pPr>
              <w:spacing w:line="240" w:lineRule="auto"/>
              <w:rPr>
                <w:color w:val="2F5496" w:themeColor="accent1" w:themeShade="BF"/>
              </w:rPr>
            </w:pPr>
            <w:r w:rsidRPr="007F4174">
              <w:rPr>
                <w:color w:val="2F5496" w:themeColor="accent1" w:themeShade="BF"/>
              </w:rPr>
              <w:t>Background, Page 2</w:t>
            </w:r>
          </w:p>
          <w:p w14:paraId="123E490B" w14:textId="77777777" w:rsidR="00D951DE" w:rsidRPr="007F4174" w:rsidRDefault="00D951DE" w:rsidP="00D951DE">
            <w:pPr>
              <w:spacing w:line="240" w:lineRule="auto"/>
              <w:rPr>
                <w:color w:val="2F5496" w:themeColor="accent1" w:themeShade="BF"/>
              </w:rPr>
            </w:pPr>
          </w:p>
          <w:p w14:paraId="7A84DDF2" w14:textId="77777777" w:rsidR="00D951DE" w:rsidRPr="007F4174" w:rsidRDefault="00D951DE" w:rsidP="00D951DE">
            <w:pPr>
              <w:spacing w:line="240" w:lineRule="auto"/>
              <w:rPr>
                <w:color w:val="2F5496" w:themeColor="accent1" w:themeShade="BF"/>
              </w:rPr>
            </w:pPr>
            <w:r w:rsidRPr="007F4174">
              <w:rPr>
                <w:color w:val="2F5496" w:themeColor="accent1" w:themeShade="BF"/>
              </w:rPr>
              <w:t>Please could you specify the “Irish Government Guidelines” being applied.</w:t>
            </w:r>
          </w:p>
          <w:p w14:paraId="56437A88" w14:textId="77777777" w:rsidR="00D951DE" w:rsidRPr="007F4174" w:rsidRDefault="00D951DE" w:rsidP="00D951DE">
            <w:pPr>
              <w:spacing w:line="240" w:lineRule="auto"/>
              <w:rPr>
                <w:color w:val="2F5496" w:themeColor="accent1" w:themeShade="BF"/>
              </w:rPr>
            </w:pPr>
          </w:p>
          <w:p w14:paraId="75C0A9B7" w14:textId="77777777" w:rsidR="00D951DE" w:rsidRPr="007F4174" w:rsidRDefault="00D951DE" w:rsidP="00D951DE">
            <w:pPr>
              <w:spacing w:line="240" w:lineRule="auto"/>
              <w:rPr>
                <w:color w:val="2F5496" w:themeColor="accent1" w:themeShade="BF"/>
              </w:rPr>
            </w:pPr>
            <w:r w:rsidRPr="007F4174">
              <w:rPr>
                <w:color w:val="2F5496" w:themeColor="accent1" w:themeShade="BF"/>
              </w:rPr>
              <w:t>Section 1, Para 1.2 Page 4 and Section 7 Pages 6-11</w:t>
            </w:r>
          </w:p>
          <w:p w14:paraId="7B3BCA69" w14:textId="77777777" w:rsidR="00D951DE" w:rsidRPr="007F4174" w:rsidRDefault="00D951DE" w:rsidP="00D951DE">
            <w:pPr>
              <w:spacing w:line="240" w:lineRule="auto"/>
              <w:rPr>
                <w:color w:val="2F5496" w:themeColor="accent1" w:themeShade="BF"/>
              </w:rPr>
            </w:pPr>
          </w:p>
          <w:p w14:paraId="3FD124F1" w14:textId="77777777" w:rsidR="00D951DE" w:rsidRPr="007F4174" w:rsidRDefault="00D951DE" w:rsidP="00D951DE">
            <w:pPr>
              <w:spacing w:line="240" w:lineRule="auto"/>
              <w:rPr>
                <w:color w:val="2F5496" w:themeColor="accent1" w:themeShade="BF"/>
              </w:rPr>
            </w:pPr>
            <w:r w:rsidRPr="007F4174">
              <w:rPr>
                <w:color w:val="2F5496" w:themeColor="accent1" w:themeShade="BF"/>
              </w:rPr>
              <w:t>The above referenced sections and pages set out the obligations of the Framework Member. However, there is nothing equivalent in the document setting out the obligations of the Contracting Authority. These obligations can be equally as important in ensuring the timely, on cost delivery of project work (e.g. Managing /facilitation / provision of requirements, briefing sessions, coordination of LGMA and/or stakeholder resources vital to any critical path to project delivery etc.).</w:t>
            </w:r>
          </w:p>
          <w:p w14:paraId="558302B2" w14:textId="77777777" w:rsidR="00D951DE" w:rsidRPr="007F4174" w:rsidRDefault="00D951DE" w:rsidP="00D951DE">
            <w:pPr>
              <w:spacing w:line="240" w:lineRule="auto"/>
              <w:rPr>
                <w:color w:val="2F5496" w:themeColor="accent1" w:themeShade="BF"/>
              </w:rPr>
            </w:pPr>
          </w:p>
          <w:p w14:paraId="1E0B5C01" w14:textId="77777777" w:rsidR="00D951DE" w:rsidRPr="007F4174" w:rsidRDefault="00D951DE" w:rsidP="00D951DE">
            <w:pPr>
              <w:spacing w:line="240" w:lineRule="auto"/>
              <w:rPr>
                <w:color w:val="2F5496" w:themeColor="accent1" w:themeShade="BF"/>
              </w:rPr>
            </w:pPr>
            <w:r w:rsidRPr="007F4174">
              <w:rPr>
                <w:color w:val="2F5496" w:themeColor="accent1" w:themeShade="BF"/>
              </w:rPr>
              <w:t xml:space="preserve">In order to facilitate the required interaction, </w:t>
            </w:r>
            <w:proofErr w:type="gramStart"/>
            <w:r w:rsidRPr="007F4174">
              <w:rPr>
                <w:color w:val="2F5496" w:themeColor="accent1" w:themeShade="BF"/>
              </w:rPr>
              <w:t>we  request</w:t>
            </w:r>
            <w:proofErr w:type="gramEnd"/>
            <w:r w:rsidRPr="007F4174">
              <w:rPr>
                <w:color w:val="2F5496" w:themeColor="accent1" w:themeShade="BF"/>
              </w:rPr>
              <w:t xml:space="preserve"> that a reciprocal section on the obligations of the Contracting Authority be added, and an updated Sample Vendor Framework Document including this section be uploaded to the tender dossier on eTenders. By ensuring all </w:t>
            </w:r>
            <w:r w:rsidRPr="007F4174">
              <w:rPr>
                <w:color w:val="2F5496" w:themeColor="accent1" w:themeShade="BF"/>
              </w:rPr>
              <w:lastRenderedPageBreak/>
              <w:t>parties are contractually clear and mutually agree on their responsibilities, we can ensure smoother project delivery.</w:t>
            </w:r>
          </w:p>
          <w:p w14:paraId="34D55713" w14:textId="77777777" w:rsidR="00D951DE" w:rsidRPr="007F4174" w:rsidRDefault="00D951DE" w:rsidP="00D951DE">
            <w:pPr>
              <w:spacing w:line="240" w:lineRule="auto"/>
              <w:rPr>
                <w:color w:val="2F5496" w:themeColor="accent1" w:themeShade="BF"/>
              </w:rPr>
            </w:pPr>
          </w:p>
          <w:p w14:paraId="777A3D08" w14:textId="77777777" w:rsidR="00D951DE" w:rsidRPr="007F4174" w:rsidRDefault="00D951DE" w:rsidP="00D951DE">
            <w:pPr>
              <w:spacing w:line="240" w:lineRule="auto"/>
              <w:rPr>
                <w:color w:val="2F5496" w:themeColor="accent1" w:themeShade="BF"/>
              </w:rPr>
            </w:pPr>
          </w:p>
          <w:p w14:paraId="27844089" w14:textId="77777777" w:rsidR="00D951DE" w:rsidRPr="007F4174" w:rsidRDefault="00D951DE" w:rsidP="00D951DE">
            <w:pPr>
              <w:spacing w:line="240" w:lineRule="auto"/>
              <w:rPr>
                <w:color w:val="2F5496" w:themeColor="accent1" w:themeShade="BF"/>
              </w:rPr>
            </w:pPr>
            <w:r w:rsidRPr="007F4174">
              <w:rPr>
                <w:color w:val="2F5496" w:themeColor="accent1" w:themeShade="BF"/>
              </w:rPr>
              <w:t xml:space="preserve">This section should, at a </w:t>
            </w:r>
            <w:proofErr w:type="gramStart"/>
            <w:r w:rsidRPr="007F4174">
              <w:rPr>
                <w:color w:val="2F5496" w:themeColor="accent1" w:themeShade="BF"/>
              </w:rPr>
              <w:t>minimum:-</w:t>
            </w:r>
            <w:proofErr w:type="gramEnd"/>
          </w:p>
          <w:p w14:paraId="17AC9F83" w14:textId="77777777" w:rsidR="00D951DE" w:rsidRPr="007F4174" w:rsidRDefault="00D951DE" w:rsidP="00D951DE">
            <w:pPr>
              <w:spacing w:line="240" w:lineRule="auto"/>
              <w:rPr>
                <w:color w:val="2F5496" w:themeColor="accent1" w:themeShade="BF"/>
              </w:rPr>
            </w:pPr>
          </w:p>
          <w:p w14:paraId="547032F7" w14:textId="77777777" w:rsidR="00D951DE" w:rsidRPr="007F4174" w:rsidRDefault="00D951DE" w:rsidP="00D951DE">
            <w:pPr>
              <w:spacing w:line="240" w:lineRule="auto"/>
              <w:rPr>
                <w:color w:val="2F5496" w:themeColor="accent1" w:themeShade="BF"/>
              </w:rPr>
            </w:pPr>
            <w:r w:rsidRPr="007F4174">
              <w:rPr>
                <w:color w:val="2F5496" w:themeColor="accent1" w:themeShade="BF"/>
              </w:rPr>
              <w:t>Specify the relevant Irish public service standards, policies and guidelines to be adhered to by the Contracting Authority for the management of the framework agreement and call-out contracts.</w:t>
            </w:r>
          </w:p>
          <w:p w14:paraId="6F60076B" w14:textId="77777777" w:rsidR="00D951DE" w:rsidRPr="007F4174" w:rsidRDefault="00D951DE" w:rsidP="00D951DE">
            <w:pPr>
              <w:spacing w:line="240" w:lineRule="auto"/>
              <w:rPr>
                <w:color w:val="2F5496" w:themeColor="accent1" w:themeShade="BF"/>
              </w:rPr>
            </w:pPr>
            <w:r w:rsidRPr="007F4174">
              <w:rPr>
                <w:color w:val="2F5496" w:themeColor="accent1" w:themeShade="BF"/>
              </w:rPr>
              <w:t xml:space="preserve">Summarise the obligations of the Contracting Authority with respect </w:t>
            </w:r>
            <w:proofErr w:type="gramStart"/>
            <w:r w:rsidRPr="007F4174">
              <w:rPr>
                <w:color w:val="2F5496" w:themeColor="accent1" w:themeShade="BF"/>
              </w:rPr>
              <w:t>to:-</w:t>
            </w:r>
            <w:proofErr w:type="gramEnd"/>
          </w:p>
          <w:p w14:paraId="52097DF8" w14:textId="77777777" w:rsidR="00D951DE" w:rsidRPr="007F4174" w:rsidRDefault="00D951DE" w:rsidP="00D951DE">
            <w:pPr>
              <w:spacing w:line="240" w:lineRule="auto"/>
              <w:rPr>
                <w:color w:val="2F5496" w:themeColor="accent1" w:themeShade="BF"/>
              </w:rPr>
            </w:pPr>
            <w:r w:rsidRPr="007F4174">
              <w:rPr>
                <w:color w:val="2F5496" w:themeColor="accent1" w:themeShade="BF"/>
              </w:rPr>
              <w:t>Programme and project management;</w:t>
            </w:r>
          </w:p>
          <w:p w14:paraId="513274B9" w14:textId="77777777" w:rsidR="00D951DE" w:rsidRPr="007F4174" w:rsidRDefault="00D951DE" w:rsidP="00D951DE">
            <w:pPr>
              <w:spacing w:line="240" w:lineRule="auto"/>
              <w:rPr>
                <w:color w:val="2F5496" w:themeColor="accent1" w:themeShade="BF"/>
              </w:rPr>
            </w:pPr>
            <w:r w:rsidRPr="007F4174">
              <w:rPr>
                <w:color w:val="2F5496" w:themeColor="accent1" w:themeShade="BF"/>
              </w:rPr>
              <w:t>The financial monitoring of the framework contract, especially tracking the draw-down of the budget, and reporting on same to the Framework Member for planning purposes;</w:t>
            </w:r>
          </w:p>
          <w:p w14:paraId="17B4D10D" w14:textId="77777777" w:rsidR="00D951DE" w:rsidRPr="007F4174" w:rsidRDefault="00D951DE" w:rsidP="00D951DE">
            <w:pPr>
              <w:spacing w:line="240" w:lineRule="auto"/>
              <w:rPr>
                <w:color w:val="2F5496" w:themeColor="accent1" w:themeShade="BF"/>
              </w:rPr>
            </w:pPr>
            <w:r w:rsidRPr="007F4174">
              <w:rPr>
                <w:color w:val="2F5496" w:themeColor="accent1" w:themeShade="BF"/>
              </w:rPr>
              <w:t>Conflict of Interest;</w:t>
            </w:r>
          </w:p>
          <w:p w14:paraId="0EC48C29" w14:textId="77777777" w:rsidR="00D951DE" w:rsidRPr="007F4174" w:rsidRDefault="00D951DE" w:rsidP="00D951DE">
            <w:pPr>
              <w:spacing w:line="240" w:lineRule="auto"/>
              <w:rPr>
                <w:color w:val="2F5496" w:themeColor="accent1" w:themeShade="BF"/>
              </w:rPr>
            </w:pPr>
            <w:r w:rsidRPr="007F4174">
              <w:rPr>
                <w:color w:val="2F5496" w:themeColor="accent1" w:themeShade="BF"/>
              </w:rPr>
              <w:t>Interference;</w:t>
            </w:r>
          </w:p>
          <w:p w14:paraId="2541A95C" w14:textId="77777777" w:rsidR="00D951DE" w:rsidRPr="007F4174" w:rsidRDefault="00D951DE" w:rsidP="00D951DE">
            <w:pPr>
              <w:spacing w:line="240" w:lineRule="auto"/>
              <w:rPr>
                <w:color w:val="2F5496" w:themeColor="accent1" w:themeShade="BF"/>
              </w:rPr>
            </w:pPr>
            <w:r w:rsidRPr="007F4174">
              <w:rPr>
                <w:color w:val="2F5496" w:themeColor="accent1" w:themeShade="BF"/>
              </w:rPr>
              <w:t>Confidentiality;</w:t>
            </w:r>
          </w:p>
          <w:p w14:paraId="630AE531" w14:textId="77777777" w:rsidR="00D951DE" w:rsidRPr="007F4174" w:rsidRDefault="00D951DE" w:rsidP="00D951DE">
            <w:pPr>
              <w:spacing w:line="240" w:lineRule="auto"/>
              <w:rPr>
                <w:color w:val="2F5496" w:themeColor="accent1" w:themeShade="BF"/>
              </w:rPr>
            </w:pPr>
            <w:r w:rsidRPr="007F4174">
              <w:rPr>
                <w:color w:val="2F5496" w:themeColor="accent1" w:themeShade="BF"/>
              </w:rPr>
              <w:t>The safeguarding of the Framework Member’s personal data by the Contracting Authority;</w:t>
            </w:r>
          </w:p>
          <w:p w14:paraId="3407808A" w14:textId="77777777" w:rsidR="00D951DE" w:rsidRPr="007F4174" w:rsidRDefault="00D951DE" w:rsidP="00D951DE">
            <w:pPr>
              <w:spacing w:line="240" w:lineRule="auto"/>
              <w:rPr>
                <w:color w:val="2F5496" w:themeColor="accent1" w:themeShade="BF"/>
              </w:rPr>
            </w:pPr>
            <w:r w:rsidRPr="007F4174">
              <w:rPr>
                <w:color w:val="2F5496" w:themeColor="accent1" w:themeShade="BF"/>
              </w:rPr>
              <w:t>The safeguarding of the Framework Member’s IP (if relevant) by the Contracting Authority;</w:t>
            </w:r>
          </w:p>
          <w:p w14:paraId="1EDAEBA7" w14:textId="77777777" w:rsidR="00D951DE" w:rsidRPr="007F4174" w:rsidRDefault="00D951DE" w:rsidP="00D951DE">
            <w:pPr>
              <w:spacing w:line="240" w:lineRule="auto"/>
              <w:rPr>
                <w:color w:val="2F5496" w:themeColor="accent1" w:themeShade="BF"/>
              </w:rPr>
            </w:pPr>
            <w:r w:rsidRPr="007F4174">
              <w:rPr>
                <w:color w:val="2F5496" w:themeColor="accent1" w:themeShade="BF"/>
              </w:rPr>
              <w:t>Allow for a periodic review of the Contracting Authority’s execution of the above obligations (to be held concurrently with the reviews requested of the Framework vendors Contract Manager)</w:t>
            </w:r>
          </w:p>
          <w:p w14:paraId="4F8F1E03" w14:textId="77777777" w:rsidR="00D951DE" w:rsidRPr="007F4174" w:rsidRDefault="00D951DE" w:rsidP="00D951DE">
            <w:pPr>
              <w:spacing w:line="240" w:lineRule="auto"/>
              <w:rPr>
                <w:color w:val="2F5496" w:themeColor="accent1" w:themeShade="BF"/>
              </w:rPr>
            </w:pPr>
            <w:r w:rsidRPr="007F4174">
              <w:rPr>
                <w:color w:val="2F5496" w:themeColor="accent1" w:themeShade="BF"/>
              </w:rPr>
              <w:t>Set out the procedure(s) to be followed in the event that the Contracting Authority’s performance in the areas summarised in point 2 above falls below agreed minimum standards, with particular respect to:</w:t>
            </w:r>
          </w:p>
          <w:p w14:paraId="407F49B5" w14:textId="77777777" w:rsidR="00D951DE" w:rsidRPr="007F4174" w:rsidRDefault="00D951DE" w:rsidP="00D951DE">
            <w:pPr>
              <w:spacing w:line="240" w:lineRule="auto"/>
              <w:rPr>
                <w:color w:val="2F5496" w:themeColor="accent1" w:themeShade="BF"/>
              </w:rPr>
            </w:pPr>
            <w:r w:rsidRPr="007F4174">
              <w:rPr>
                <w:color w:val="2F5496" w:themeColor="accent1" w:themeShade="BF"/>
              </w:rPr>
              <w:t>Complaints;</w:t>
            </w:r>
          </w:p>
          <w:p w14:paraId="6E3B7ED1" w14:textId="77777777" w:rsidR="00D951DE" w:rsidRPr="007F4174" w:rsidRDefault="00D951DE" w:rsidP="00D951DE">
            <w:pPr>
              <w:spacing w:line="240" w:lineRule="auto"/>
              <w:rPr>
                <w:color w:val="2F5496" w:themeColor="accent1" w:themeShade="BF"/>
              </w:rPr>
            </w:pPr>
            <w:r w:rsidRPr="007F4174">
              <w:rPr>
                <w:color w:val="2F5496" w:themeColor="accent1" w:themeShade="BF"/>
              </w:rPr>
              <w:t>Indemnification;</w:t>
            </w:r>
          </w:p>
          <w:p w14:paraId="7B7CFE80" w14:textId="77777777" w:rsidR="00D951DE" w:rsidRPr="007F4174" w:rsidRDefault="00D951DE" w:rsidP="00D951DE">
            <w:pPr>
              <w:spacing w:line="240" w:lineRule="auto"/>
              <w:rPr>
                <w:color w:val="2F5496" w:themeColor="accent1" w:themeShade="BF"/>
              </w:rPr>
            </w:pPr>
            <w:r w:rsidRPr="007F4174">
              <w:rPr>
                <w:color w:val="2F5496" w:themeColor="accent1" w:themeShade="BF"/>
              </w:rPr>
              <w:t>Liability;</w:t>
            </w:r>
          </w:p>
          <w:p w14:paraId="053C67F8" w14:textId="77777777" w:rsidR="00D951DE" w:rsidRPr="007F4174" w:rsidRDefault="00D951DE" w:rsidP="00D951DE">
            <w:pPr>
              <w:spacing w:line="240" w:lineRule="auto"/>
              <w:rPr>
                <w:color w:val="2F5496" w:themeColor="accent1" w:themeShade="BF"/>
              </w:rPr>
            </w:pPr>
            <w:r w:rsidRPr="007F4174">
              <w:rPr>
                <w:color w:val="2F5496" w:themeColor="accent1" w:themeShade="BF"/>
              </w:rPr>
              <w:t xml:space="preserve">Remedies to be applied, particularly in the case that the Framework Member suffers a loss as a result of the </w:t>
            </w:r>
            <w:r w:rsidRPr="007F4174">
              <w:rPr>
                <w:color w:val="2F5496" w:themeColor="accent1" w:themeShade="BF"/>
              </w:rPr>
              <w:lastRenderedPageBreak/>
              <w:t>Contracting Authority’s non-performance;</w:t>
            </w:r>
          </w:p>
          <w:p w14:paraId="796D451F" w14:textId="77777777" w:rsidR="00D951DE" w:rsidRPr="007F4174" w:rsidRDefault="00D951DE" w:rsidP="00D951DE">
            <w:pPr>
              <w:spacing w:line="240" w:lineRule="auto"/>
              <w:rPr>
                <w:color w:val="2F5496" w:themeColor="accent1" w:themeShade="BF"/>
              </w:rPr>
            </w:pPr>
            <w:r w:rsidRPr="007F4174">
              <w:rPr>
                <w:color w:val="2F5496" w:themeColor="accent1" w:themeShade="BF"/>
              </w:rPr>
              <w:t>Appeals.</w:t>
            </w:r>
          </w:p>
          <w:p w14:paraId="7001A0A8" w14:textId="77777777" w:rsidR="00D951DE" w:rsidRPr="007F4174" w:rsidRDefault="00D951DE" w:rsidP="00D951DE">
            <w:pPr>
              <w:spacing w:line="240" w:lineRule="auto"/>
              <w:rPr>
                <w:color w:val="2F5496" w:themeColor="accent1" w:themeShade="BF"/>
              </w:rPr>
            </w:pPr>
            <w:r w:rsidRPr="007F4174">
              <w:rPr>
                <w:color w:val="2F5496" w:themeColor="accent1" w:themeShade="BF"/>
              </w:rPr>
              <w:t>It may be helpful to give a practical, entirely hypothetical example here. Say (and purely for the sake of argument) that the Contracting Authority failed to properly monitor the draw down of the spend under the framework, as a result of which the budget was exceeded and work was suspended: what compensation would be available to the Framework Member and what would be the basis on which the value would be determined?</w:t>
            </w:r>
          </w:p>
          <w:p w14:paraId="097D4A8A" w14:textId="77777777" w:rsidR="00D951DE" w:rsidRPr="007F4174" w:rsidRDefault="00D951DE" w:rsidP="00D951DE">
            <w:pPr>
              <w:spacing w:line="240" w:lineRule="auto"/>
              <w:rPr>
                <w:color w:val="2F5496" w:themeColor="accent1" w:themeShade="BF"/>
              </w:rPr>
            </w:pPr>
          </w:p>
          <w:p w14:paraId="26A14D34" w14:textId="77777777" w:rsidR="00D951DE" w:rsidRPr="007F4174" w:rsidRDefault="00D951DE" w:rsidP="00D951DE">
            <w:pPr>
              <w:spacing w:line="240" w:lineRule="auto"/>
              <w:rPr>
                <w:color w:val="2F5496" w:themeColor="accent1" w:themeShade="BF"/>
              </w:rPr>
            </w:pPr>
            <w:r w:rsidRPr="007F4174">
              <w:rPr>
                <w:color w:val="2F5496" w:themeColor="accent1" w:themeShade="BF"/>
              </w:rPr>
              <w:t>6.3. Personnel Page 6</w:t>
            </w:r>
          </w:p>
          <w:p w14:paraId="151B78CB" w14:textId="77777777" w:rsidR="00D951DE" w:rsidRPr="007F4174" w:rsidRDefault="00D951DE" w:rsidP="00D951DE">
            <w:pPr>
              <w:spacing w:line="240" w:lineRule="auto"/>
              <w:rPr>
                <w:color w:val="2F5496" w:themeColor="accent1" w:themeShade="BF"/>
              </w:rPr>
            </w:pPr>
          </w:p>
          <w:p w14:paraId="59F5C05D" w14:textId="77777777" w:rsidR="00D951DE" w:rsidRPr="007F4174" w:rsidRDefault="00D951DE" w:rsidP="00D951DE">
            <w:pPr>
              <w:spacing w:line="240" w:lineRule="auto"/>
              <w:rPr>
                <w:color w:val="2F5496" w:themeColor="accent1" w:themeShade="BF"/>
              </w:rPr>
            </w:pPr>
            <w:r w:rsidRPr="007F4174">
              <w:rPr>
                <w:color w:val="2F5496" w:themeColor="accent1" w:themeShade="BF"/>
              </w:rPr>
              <w:t xml:space="preserve">It is </w:t>
            </w:r>
            <w:proofErr w:type="gramStart"/>
            <w:r w:rsidRPr="007F4174">
              <w:rPr>
                <w:color w:val="2F5496" w:themeColor="accent1" w:themeShade="BF"/>
              </w:rPr>
              <w:t>stated:-</w:t>
            </w:r>
            <w:proofErr w:type="gramEnd"/>
          </w:p>
          <w:p w14:paraId="43E1879A" w14:textId="77777777" w:rsidR="00D951DE" w:rsidRPr="007F4174" w:rsidRDefault="00D951DE" w:rsidP="00D951DE">
            <w:pPr>
              <w:spacing w:line="240" w:lineRule="auto"/>
              <w:rPr>
                <w:color w:val="2F5496" w:themeColor="accent1" w:themeShade="BF"/>
              </w:rPr>
            </w:pPr>
          </w:p>
          <w:p w14:paraId="3E1BF44A" w14:textId="77777777" w:rsidR="00D951DE" w:rsidRPr="007F4174" w:rsidRDefault="00D951DE" w:rsidP="00D951DE">
            <w:pPr>
              <w:spacing w:line="240" w:lineRule="auto"/>
              <w:rPr>
                <w:color w:val="2F5496" w:themeColor="accent1" w:themeShade="BF"/>
              </w:rPr>
            </w:pPr>
            <w:r w:rsidRPr="007F4174">
              <w:rPr>
                <w:color w:val="2F5496" w:themeColor="accent1" w:themeShade="BF"/>
              </w:rPr>
              <w:t>Regarding personnel assigned to deliver services under the framework, where the successful Framework Member proposes to replace a nominated person, the proposed replacement person must be of equal or better qualifications and expertise than that of the original nominated person(s).</w:t>
            </w:r>
          </w:p>
          <w:p w14:paraId="51779073" w14:textId="77777777" w:rsidR="00D951DE" w:rsidRPr="007F4174" w:rsidRDefault="00D951DE" w:rsidP="00D951DE">
            <w:pPr>
              <w:spacing w:line="240" w:lineRule="auto"/>
              <w:rPr>
                <w:color w:val="2F5496" w:themeColor="accent1" w:themeShade="BF"/>
              </w:rPr>
            </w:pPr>
          </w:p>
          <w:p w14:paraId="72ED763F" w14:textId="77777777" w:rsidR="00D951DE" w:rsidRPr="007F4174" w:rsidRDefault="00D951DE" w:rsidP="00D951DE">
            <w:pPr>
              <w:spacing w:line="240" w:lineRule="auto"/>
              <w:rPr>
                <w:color w:val="2F5496" w:themeColor="accent1" w:themeShade="BF"/>
              </w:rPr>
            </w:pPr>
            <w:r w:rsidRPr="007F4174">
              <w:rPr>
                <w:color w:val="2F5496" w:themeColor="accent1" w:themeShade="BF"/>
              </w:rPr>
              <w:t xml:space="preserve">This requirement is unreasonable and should be removed or changed. </w:t>
            </w:r>
            <w:proofErr w:type="gramStart"/>
            <w:r w:rsidRPr="007F4174">
              <w:rPr>
                <w:color w:val="2F5496" w:themeColor="accent1" w:themeShade="BF"/>
              </w:rPr>
              <w:t>E.g. .</w:t>
            </w:r>
            <w:proofErr w:type="gramEnd"/>
            <w:r w:rsidRPr="007F4174">
              <w:rPr>
                <w:color w:val="2F5496" w:themeColor="accent1" w:themeShade="BF"/>
              </w:rPr>
              <w:t xml:space="preserve"> </w:t>
            </w:r>
            <w:proofErr w:type="gramStart"/>
            <w:r w:rsidRPr="007F4174">
              <w:rPr>
                <w:color w:val="2F5496" w:themeColor="accent1" w:themeShade="BF"/>
              </w:rPr>
              <w:t>a  project</w:t>
            </w:r>
            <w:proofErr w:type="gramEnd"/>
            <w:r w:rsidRPr="007F4174">
              <w:rPr>
                <w:color w:val="2F5496" w:themeColor="accent1" w:themeShade="BF"/>
              </w:rPr>
              <w:t xml:space="preserve"> manager with 30 years’ experience </w:t>
            </w:r>
            <w:proofErr w:type="gramStart"/>
            <w:r w:rsidRPr="007F4174">
              <w:rPr>
                <w:color w:val="2F5496" w:themeColor="accent1" w:themeShade="BF"/>
              </w:rPr>
              <w:t>can  be</w:t>
            </w:r>
            <w:proofErr w:type="gramEnd"/>
            <w:r w:rsidRPr="007F4174">
              <w:rPr>
                <w:color w:val="2F5496" w:themeColor="accent1" w:themeShade="BF"/>
              </w:rPr>
              <w:t xml:space="preserve"> replaced by one with 25 years’ experience with no measurable loss to the client. Change to “…the proposed replacement person(s) must also match the required skills, qualifications and expertise as has been contractually defined for the role they will be appointed to perform and, insofar as is practical and relevant, they should have similar domain or subject matter expertise.”</w:t>
            </w:r>
          </w:p>
          <w:p w14:paraId="1ADE535D" w14:textId="77777777" w:rsidR="00D951DE" w:rsidRPr="007F4174" w:rsidRDefault="00D951DE" w:rsidP="00D951DE">
            <w:pPr>
              <w:spacing w:line="240" w:lineRule="auto"/>
              <w:rPr>
                <w:color w:val="2F5496" w:themeColor="accent1" w:themeShade="BF"/>
              </w:rPr>
            </w:pPr>
          </w:p>
          <w:p w14:paraId="5E30CFA7" w14:textId="77777777" w:rsidR="00D951DE" w:rsidRPr="007F4174" w:rsidRDefault="00D951DE" w:rsidP="00D951DE">
            <w:pPr>
              <w:spacing w:line="240" w:lineRule="auto"/>
              <w:rPr>
                <w:color w:val="2F5496" w:themeColor="accent1" w:themeShade="BF"/>
              </w:rPr>
            </w:pPr>
            <w:r w:rsidRPr="007F4174">
              <w:rPr>
                <w:color w:val="2F5496" w:themeColor="accent1" w:themeShade="BF"/>
              </w:rPr>
              <w:t>6.4. Service Level Agreement Page 6</w:t>
            </w:r>
          </w:p>
          <w:p w14:paraId="119B34B4" w14:textId="77777777" w:rsidR="00D951DE" w:rsidRPr="007F4174" w:rsidRDefault="00D951DE" w:rsidP="00D951DE">
            <w:pPr>
              <w:spacing w:line="240" w:lineRule="auto"/>
              <w:rPr>
                <w:color w:val="2F5496" w:themeColor="accent1" w:themeShade="BF"/>
              </w:rPr>
            </w:pPr>
          </w:p>
          <w:p w14:paraId="0A419A9C" w14:textId="77777777" w:rsidR="00D951DE" w:rsidRPr="007F4174" w:rsidRDefault="00D951DE" w:rsidP="00D951DE">
            <w:pPr>
              <w:spacing w:line="240" w:lineRule="auto"/>
              <w:rPr>
                <w:color w:val="2F5496" w:themeColor="accent1" w:themeShade="BF"/>
              </w:rPr>
            </w:pPr>
            <w:r w:rsidRPr="007F4174">
              <w:rPr>
                <w:color w:val="2F5496" w:themeColor="accent1" w:themeShade="BF"/>
              </w:rPr>
              <w:t xml:space="preserve">It is </w:t>
            </w:r>
            <w:proofErr w:type="gramStart"/>
            <w:r w:rsidRPr="007F4174">
              <w:rPr>
                <w:color w:val="2F5496" w:themeColor="accent1" w:themeShade="BF"/>
              </w:rPr>
              <w:t>stated:-</w:t>
            </w:r>
            <w:proofErr w:type="gramEnd"/>
          </w:p>
          <w:p w14:paraId="11D51583" w14:textId="77777777" w:rsidR="00D951DE" w:rsidRPr="007F4174" w:rsidRDefault="00D951DE" w:rsidP="00D951DE">
            <w:pPr>
              <w:spacing w:line="240" w:lineRule="auto"/>
              <w:rPr>
                <w:color w:val="2F5496" w:themeColor="accent1" w:themeShade="BF"/>
              </w:rPr>
            </w:pPr>
          </w:p>
          <w:p w14:paraId="36A6F6F7" w14:textId="77777777" w:rsidR="00D951DE" w:rsidRPr="007F4174" w:rsidRDefault="00D951DE" w:rsidP="00D951DE">
            <w:pPr>
              <w:spacing w:line="240" w:lineRule="auto"/>
              <w:rPr>
                <w:color w:val="2F5496" w:themeColor="accent1" w:themeShade="BF"/>
              </w:rPr>
            </w:pPr>
            <w:r w:rsidRPr="007F4174">
              <w:rPr>
                <w:color w:val="2F5496" w:themeColor="accent1" w:themeShade="BF"/>
              </w:rPr>
              <w:lastRenderedPageBreak/>
              <w:t>Contracts under this framework agreement may be subject to the application of a Service Level Agreement which will outline the Key Performance Indicators applicable to the contract. The applicable Service Level Agreement is contained in Schedule xx.</w:t>
            </w:r>
          </w:p>
          <w:p w14:paraId="3E5D3A4C" w14:textId="77777777" w:rsidR="00D951DE" w:rsidRPr="007F4174" w:rsidRDefault="00D951DE" w:rsidP="00D951DE">
            <w:pPr>
              <w:spacing w:line="240" w:lineRule="auto"/>
              <w:rPr>
                <w:color w:val="2F5496" w:themeColor="accent1" w:themeShade="BF"/>
              </w:rPr>
            </w:pPr>
          </w:p>
          <w:p w14:paraId="199243EA" w14:textId="77777777" w:rsidR="00D951DE" w:rsidRPr="007F4174" w:rsidRDefault="00D951DE" w:rsidP="00D951DE">
            <w:pPr>
              <w:spacing w:line="240" w:lineRule="auto"/>
              <w:rPr>
                <w:color w:val="2F5496" w:themeColor="accent1" w:themeShade="BF"/>
              </w:rPr>
            </w:pPr>
            <w:r w:rsidRPr="007F4174">
              <w:rPr>
                <w:color w:val="2F5496" w:themeColor="accent1" w:themeShade="BF"/>
              </w:rPr>
              <w:t>This schedule is not included in the Sample Vendor Framework Agreement as has been stated.</w:t>
            </w:r>
          </w:p>
          <w:p w14:paraId="1B44145E" w14:textId="77777777" w:rsidR="00D951DE" w:rsidRPr="007F4174" w:rsidRDefault="00D951DE" w:rsidP="00D951DE">
            <w:pPr>
              <w:spacing w:line="240" w:lineRule="auto"/>
              <w:rPr>
                <w:color w:val="2F5496" w:themeColor="accent1" w:themeShade="BF"/>
              </w:rPr>
            </w:pPr>
          </w:p>
          <w:p w14:paraId="1DCE2202" w14:textId="77777777" w:rsidR="00D951DE" w:rsidRPr="007F4174" w:rsidRDefault="00D951DE" w:rsidP="00D951DE">
            <w:pPr>
              <w:spacing w:line="240" w:lineRule="auto"/>
              <w:rPr>
                <w:color w:val="2F5496" w:themeColor="accent1" w:themeShade="BF"/>
              </w:rPr>
            </w:pPr>
            <w:r w:rsidRPr="007F4174">
              <w:rPr>
                <w:color w:val="2F5496" w:themeColor="accent1" w:themeShade="BF"/>
              </w:rPr>
              <w:t xml:space="preserve">Please provide a Sample (or indicative generic) Service Level Agreement, uploaded to the dossier on eTenders, so that the proposed Key Performance Indicators can be reviewed by bidders. It is unreasonable to expect prospective Framework Members to bid or determine the appropriate blended daily rate to be proposed for the Framework, without any visibility of the KPI’s that will be applied to them should they be successful. These KPI’s may also determine the level of “non-billed” time that the proposed Contract Manager may have to </w:t>
            </w:r>
            <w:proofErr w:type="gramStart"/>
            <w:r w:rsidRPr="007F4174">
              <w:rPr>
                <w:color w:val="2F5496" w:themeColor="accent1" w:themeShade="BF"/>
              </w:rPr>
              <w:t>provide</w:t>
            </w:r>
            <w:proofErr w:type="gramEnd"/>
            <w:r w:rsidRPr="007F4174">
              <w:rPr>
                <w:color w:val="2F5496" w:themeColor="accent1" w:themeShade="BF"/>
              </w:rPr>
              <w:t xml:space="preserve"> and this may feed into some potential vendor calculations in regard to an appropriate blended daily rate.</w:t>
            </w:r>
          </w:p>
          <w:p w14:paraId="07FB61A0" w14:textId="77777777" w:rsidR="00D951DE" w:rsidRPr="007F4174" w:rsidRDefault="00D951DE" w:rsidP="00D951DE">
            <w:pPr>
              <w:spacing w:line="240" w:lineRule="auto"/>
              <w:rPr>
                <w:color w:val="2F5496" w:themeColor="accent1" w:themeShade="BF"/>
              </w:rPr>
            </w:pPr>
          </w:p>
          <w:p w14:paraId="51DCE1C2" w14:textId="77777777" w:rsidR="00D951DE" w:rsidRPr="007F4174" w:rsidRDefault="00D951DE" w:rsidP="00D951DE">
            <w:pPr>
              <w:spacing w:line="240" w:lineRule="auto"/>
              <w:rPr>
                <w:color w:val="2F5496" w:themeColor="accent1" w:themeShade="BF"/>
              </w:rPr>
            </w:pPr>
            <w:r w:rsidRPr="007F4174">
              <w:rPr>
                <w:color w:val="2F5496" w:themeColor="accent1" w:themeShade="BF"/>
              </w:rPr>
              <w:t>Section 8 Termination Page 12</w:t>
            </w:r>
          </w:p>
          <w:p w14:paraId="21CDB6E1" w14:textId="77777777" w:rsidR="00D951DE" w:rsidRPr="007F4174" w:rsidRDefault="00D951DE" w:rsidP="00D951DE">
            <w:pPr>
              <w:spacing w:line="240" w:lineRule="auto"/>
              <w:rPr>
                <w:color w:val="2F5496" w:themeColor="accent1" w:themeShade="BF"/>
              </w:rPr>
            </w:pPr>
          </w:p>
          <w:p w14:paraId="6BEDA2B0" w14:textId="72185F62" w:rsidR="00D951DE" w:rsidRPr="007F4174" w:rsidRDefault="00D951DE" w:rsidP="00D951DE">
            <w:pPr>
              <w:spacing w:line="240" w:lineRule="auto"/>
              <w:rPr>
                <w:color w:val="2F5496" w:themeColor="accent1" w:themeShade="BF"/>
              </w:rPr>
            </w:pPr>
            <w:r w:rsidRPr="007F4174">
              <w:rPr>
                <w:color w:val="2F5496" w:themeColor="accent1" w:themeShade="BF"/>
              </w:rPr>
              <w:t xml:space="preserve">Can you give </w:t>
            </w:r>
            <w:r w:rsidRPr="007F4174">
              <w:rPr>
                <w:color w:val="2F5496" w:themeColor="accent1" w:themeShade="BF"/>
              </w:rPr>
              <w:t>a justification</w:t>
            </w:r>
            <w:r w:rsidRPr="007F4174">
              <w:rPr>
                <w:color w:val="2F5496" w:themeColor="accent1" w:themeShade="BF"/>
              </w:rPr>
              <w:t xml:space="preserve"> in paragraph 8.1. for having a 3-month termination period for the Contracting Authority and a 6-month termination period for the Framework Member? This would appear to place a disproportionate burden on the Framework Member.</w:t>
            </w:r>
          </w:p>
          <w:p w14:paraId="168728AF" w14:textId="77777777" w:rsidR="00D951DE" w:rsidRPr="007F4174" w:rsidRDefault="00D951DE" w:rsidP="00D951DE">
            <w:pPr>
              <w:spacing w:line="240" w:lineRule="auto"/>
              <w:rPr>
                <w:color w:val="2F5496" w:themeColor="accent1" w:themeShade="BF"/>
              </w:rPr>
            </w:pPr>
          </w:p>
          <w:p w14:paraId="724F6E9B" w14:textId="5A308708" w:rsidR="00485A1E" w:rsidRPr="007F4174" w:rsidRDefault="00D951DE" w:rsidP="00D951DE">
            <w:pPr>
              <w:spacing w:line="240" w:lineRule="auto"/>
              <w:rPr>
                <w:color w:val="2F5496" w:themeColor="accent1" w:themeShade="BF"/>
              </w:rPr>
            </w:pPr>
            <w:r w:rsidRPr="007F4174">
              <w:rPr>
                <w:color w:val="2F5496" w:themeColor="accent1" w:themeShade="BF"/>
              </w:rPr>
              <w:t xml:space="preserve">Paragraphs 8.2 – 8.7 All deal with circumstances that allow the Contracting Authority to terminate the framework agreement. A similar statement should be added to itemise circumstances that allow the Framework Member to terminate the </w:t>
            </w:r>
            <w:r w:rsidRPr="007F4174">
              <w:rPr>
                <w:color w:val="2F5496" w:themeColor="accent1" w:themeShade="BF"/>
              </w:rPr>
              <w:lastRenderedPageBreak/>
              <w:t>agreement in the event of non-performance by the Contracting Authority.</w:t>
            </w:r>
          </w:p>
        </w:tc>
        <w:tc>
          <w:tcPr>
            <w:tcW w:w="4490" w:type="dxa"/>
            <w:gridSpan w:val="2"/>
          </w:tcPr>
          <w:p w14:paraId="6C5315E9" w14:textId="5BDE26FE" w:rsidR="00485A1E" w:rsidRPr="007F4174" w:rsidRDefault="00AD12B2" w:rsidP="00FC1AF7">
            <w:pPr>
              <w:spacing w:line="240" w:lineRule="auto"/>
              <w:jc w:val="both"/>
              <w:rPr>
                <w:b/>
                <w:bCs/>
                <w:color w:val="2F5496" w:themeColor="accent1" w:themeShade="BF"/>
              </w:rPr>
            </w:pPr>
            <w:r w:rsidRPr="007F4174">
              <w:rPr>
                <w:b/>
                <w:bCs/>
                <w:color w:val="2F5496" w:themeColor="accent1" w:themeShade="BF"/>
              </w:rPr>
              <w:lastRenderedPageBreak/>
              <w:t>The sample framework agreement is the approved template for use in the Local Government sector.</w:t>
            </w:r>
            <w:r w:rsidRPr="007F4174">
              <w:rPr>
                <w:b/>
                <w:bCs/>
                <w:color w:val="2F5496" w:themeColor="accent1" w:themeShade="BF"/>
              </w:rPr>
              <w:t xml:space="preserve"> </w:t>
            </w:r>
            <w:r w:rsidRPr="007F4174">
              <w:rPr>
                <w:b/>
                <w:bCs/>
                <w:color w:val="2F5496" w:themeColor="accent1" w:themeShade="BF"/>
              </w:rPr>
              <w:t>The suggested changes are structural in nature and carry legal risks that would need to be reviewed and approved at a sector level - work that is outside the scope of this tender exercise.</w:t>
            </w:r>
          </w:p>
        </w:tc>
      </w:tr>
      <w:tr w:rsidR="00005897" w:rsidRPr="007F4174" w14:paraId="069640B5" w14:textId="77777777" w:rsidTr="07BFE459">
        <w:trPr>
          <w:gridAfter w:val="1"/>
          <w:wAfter w:w="12" w:type="dxa"/>
        </w:trPr>
        <w:tc>
          <w:tcPr>
            <w:tcW w:w="553" w:type="dxa"/>
          </w:tcPr>
          <w:p w14:paraId="074324E1" w14:textId="48764247" w:rsidR="00005897" w:rsidRPr="007F4174" w:rsidRDefault="000D1C3C" w:rsidP="00094F5B">
            <w:pPr>
              <w:rPr>
                <w:rFonts w:ascii="Brother 1816 Light" w:hAnsi="Brother 1816 Light"/>
                <w:b/>
                <w:bCs/>
                <w:color w:val="2F5496" w:themeColor="accent1" w:themeShade="BF"/>
                <w:sz w:val="21"/>
                <w:szCs w:val="21"/>
                <w:shd w:val="clear" w:color="auto" w:fill="FFFFFF"/>
              </w:rPr>
            </w:pPr>
            <w:r w:rsidRPr="007F4174">
              <w:rPr>
                <w:rFonts w:ascii="Brother 1816 Light" w:hAnsi="Brother 1816 Light"/>
                <w:b/>
                <w:bCs/>
                <w:color w:val="2F5496" w:themeColor="accent1" w:themeShade="BF"/>
                <w:sz w:val="21"/>
                <w:szCs w:val="21"/>
                <w:shd w:val="clear" w:color="auto" w:fill="FFFFFF"/>
              </w:rPr>
              <w:lastRenderedPageBreak/>
              <w:t>17.</w:t>
            </w:r>
          </w:p>
        </w:tc>
        <w:tc>
          <w:tcPr>
            <w:tcW w:w="3818" w:type="dxa"/>
          </w:tcPr>
          <w:p w14:paraId="6069D37C" w14:textId="2D1B4D59" w:rsidR="000D1C3C" w:rsidRPr="007F4174" w:rsidRDefault="000D1C3C" w:rsidP="000D1C3C">
            <w:pPr>
              <w:spacing w:line="240" w:lineRule="auto"/>
              <w:rPr>
                <w:color w:val="2F5496" w:themeColor="accent1" w:themeShade="BF"/>
              </w:rPr>
            </w:pPr>
            <w:r w:rsidRPr="007F4174">
              <w:rPr>
                <w:color w:val="2F5496" w:themeColor="accent1" w:themeShade="BF"/>
              </w:rPr>
              <w:t>Minimum role requirements and resource utilisation</w:t>
            </w:r>
            <w:r w:rsidR="007F4174">
              <w:rPr>
                <w:color w:val="2F5496" w:themeColor="accent1" w:themeShade="BF"/>
              </w:rPr>
              <w:t xml:space="preserve"> -</w:t>
            </w:r>
            <w:r w:rsidR="009F0E48">
              <w:rPr>
                <w:color w:val="2F5496" w:themeColor="accent1" w:themeShade="BF"/>
              </w:rPr>
              <w:t xml:space="preserve"> </w:t>
            </w:r>
            <w:r w:rsidRPr="007F4174">
              <w:rPr>
                <w:color w:val="2F5496" w:themeColor="accent1" w:themeShade="BF"/>
              </w:rPr>
              <w:t>The Lot 1 Tender Response Document requires tenderers to demonstrate minimum coverage across the listed roles/resources, totalling 31 minimum resources across the Lot 1 role table. The RFT also provides indicative effort estimates for Lot 1 systems, including estimated effort for the MapRoad Roadworks Licensing System.</w:t>
            </w:r>
          </w:p>
          <w:p w14:paraId="56E3385A" w14:textId="77777777" w:rsidR="000D1C3C" w:rsidRPr="007F4174" w:rsidRDefault="000D1C3C" w:rsidP="000D1C3C">
            <w:pPr>
              <w:spacing w:line="240" w:lineRule="auto"/>
              <w:rPr>
                <w:color w:val="2F5496" w:themeColor="accent1" w:themeShade="BF"/>
              </w:rPr>
            </w:pPr>
          </w:p>
          <w:p w14:paraId="65F5BBA5" w14:textId="77777777" w:rsidR="000D1C3C" w:rsidRPr="007F4174" w:rsidRDefault="000D1C3C" w:rsidP="000D1C3C">
            <w:pPr>
              <w:spacing w:line="240" w:lineRule="auto"/>
              <w:rPr>
                <w:color w:val="2F5496" w:themeColor="accent1" w:themeShade="BF"/>
              </w:rPr>
            </w:pPr>
            <w:r w:rsidRPr="007F4174">
              <w:rPr>
                <w:color w:val="2F5496" w:themeColor="accent1" w:themeShade="BF"/>
              </w:rPr>
              <w:t>Please confirm whether the minimum role numbers in the Lot 1 Personnel and Skills table are intended to represent a minimum available capability pool across the framework, with resources engaged as required depending on the nature of support, maintenance, development or call-off work, rather than a requirement for all listed resources to be continuously assigned or reserved for Lot 1.</w:t>
            </w:r>
          </w:p>
          <w:p w14:paraId="1F2C98D0" w14:textId="77777777" w:rsidR="000D1C3C" w:rsidRPr="007F4174" w:rsidRDefault="000D1C3C" w:rsidP="000D1C3C">
            <w:pPr>
              <w:spacing w:line="240" w:lineRule="auto"/>
              <w:rPr>
                <w:color w:val="2F5496" w:themeColor="accent1" w:themeShade="BF"/>
              </w:rPr>
            </w:pPr>
          </w:p>
          <w:p w14:paraId="35EA8C7A" w14:textId="0CEF1E4F" w:rsidR="00005897" w:rsidRPr="007F4174" w:rsidRDefault="000D1C3C" w:rsidP="000D1C3C">
            <w:pPr>
              <w:spacing w:line="240" w:lineRule="auto"/>
              <w:rPr>
                <w:color w:val="2F5496" w:themeColor="accent1" w:themeShade="BF"/>
              </w:rPr>
            </w:pPr>
            <w:r w:rsidRPr="007F4174">
              <w:rPr>
                <w:color w:val="2F5496" w:themeColor="accent1" w:themeShade="BF"/>
              </w:rPr>
              <w:t>Please also confirm whether tenderers are expected to provide a proposed allocation of indicative person-days across the required roles, or whether actual role utilisation will be determined during the framework based on specific support requests, maintenance activities, change requests and call-off engagements.</w:t>
            </w:r>
          </w:p>
        </w:tc>
        <w:tc>
          <w:tcPr>
            <w:tcW w:w="4490" w:type="dxa"/>
            <w:gridSpan w:val="2"/>
          </w:tcPr>
          <w:p w14:paraId="2266F873" w14:textId="28258424" w:rsidR="009F0E48" w:rsidRPr="009F0E48" w:rsidRDefault="009F0E48" w:rsidP="009F0E48">
            <w:pPr>
              <w:spacing w:line="240" w:lineRule="auto"/>
              <w:jc w:val="both"/>
              <w:rPr>
                <w:b/>
                <w:bCs/>
                <w:color w:val="2F5496" w:themeColor="accent1" w:themeShade="BF"/>
              </w:rPr>
            </w:pPr>
            <w:r w:rsidRPr="009F0E48">
              <w:rPr>
                <w:b/>
                <w:bCs/>
                <w:color w:val="2F5496" w:themeColor="accent1" w:themeShade="BF"/>
              </w:rPr>
              <w:t xml:space="preserve">As per the RFT, an individual can </w:t>
            </w:r>
            <w:r w:rsidRPr="009F0E48">
              <w:rPr>
                <w:b/>
                <w:bCs/>
                <w:color w:val="2F5496" w:themeColor="accent1" w:themeShade="BF"/>
              </w:rPr>
              <w:t>fulfil</w:t>
            </w:r>
            <w:r w:rsidRPr="009F0E48">
              <w:rPr>
                <w:b/>
                <w:bCs/>
                <w:color w:val="2F5496" w:themeColor="accent1" w:themeShade="BF"/>
              </w:rPr>
              <w:t xml:space="preserve"> multiple </w:t>
            </w:r>
            <w:proofErr w:type="gramStart"/>
            <w:r w:rsidRPr="009F0E48">
              <w:rPr>
                <w:b/>
                <w:bCs/>
                <w:color w:val="2F5496" w:themeColor="accent1" w:themeShade="BF"/>
              </w:rPr>
              <w:t>roles</w:t>
            </w:r>
            <w:proofErr w:type="gramEnd"/>
            <w:r w:rsidRPr="009F0E48">
              <w:rPr>
                <w:b/>
                <w:bCs/>
                <w:color w:val="2F5496" w:themeColor="accent1" w:themeShade="BF"/>
              </w:rPr>
              <w:t xml:space="preserve"> so it is not correct to say there needs to be minimum 31 individual resources.</w:t>
            </w:r>
          </w:p>
          <w:p w14:paraId="6356102B" w14:textId="77777777" w:rsidR="009F0E48" w:rsidRPr="009F0E48" w:rsidRDefault="009F0E48" w:rsidP="009F0E48">
            <w:pPr>
              <w:spacing w:line="240" w:lineRule="auto"/>
              <w:jc w:val="both"/>
              <w:rPr>
                <w:b/>
                <w:bCs/>
                <w:color w:val="2F5496" w:themeColor="accent1" w:themeShade="BF"/>
              </w:rPr>
            </w:pPr>
          </w:p>
          <w:p w14:paraId="77B72AE4" w14:textId="77777777" w:rsidR="009F0E48" w:rsidRPr="009F0E48" w:rsidRDefault="009F0E48" w:rsidP="009F0E48">
            <w:pPr>
              <w:spacing w:line="240" w:lineRule="auto"/>
              <w:jc w:val="both"/>
              <w:rPr>
                <w:b/>
                <w:bCs/>
                <w:color w:val="2F5496" w:themeColor="accent1" w:themeShade="BF"/>
              </w:rPr>
            </w:pPr>
            <w:r w:rsidRPr="009F0E48">
              <w:rPr>
                <w:b/>
                <w:bCs/>
                <w:color w:val="2F5496" w:themeColor="accent1" w:themeShade="BF"/>
              </w:rPr>
              <w:t>Yes, the minimum role numbers in the Lot 1 Personnel and Skills table are intended to represent a minimum available capability pool across the framework, with resources engaged as required.</w:t>
            </w:r>
          </w:p>
          <w:p w14:paraId="48F574E6" w14:textId="77777777" w:rsidR="009F0E48" w:rsidRPr="009F0E48" w:rsidRDefault="009F0E48" w:rsidP="009F0E48">
            <w:pPr>
              <w:spacing w:line="240" w:lineRule="auto"/>
              <w:jc w:val="both"/>
              <w:rPr>
                <w:b/>
                <w:bCs/>
                <w:color w:val="2F5496" w:themeColor="accent1" w:themeShade="BF"/>
              </w:rPr>
            </w:pPr>
          </w:p>
          <w:p w14:paraId="021BFBC4" w14:textId="0B927001" w:rsidR="00005897" w:rsidRPr="007F4174" w:rsidRDefault="009F0E48" w:rsidP="009F0E48">
            <w:pPr>
              <w:spacing w:line="240" w:lineRule="auto"/>
              <w:jc w:val="both"/>
              <w:rPr>
                <w:color w:val="2F5496" w:themeColor="accent1" w:themeShade="BF"/>
              </w:rPr>
            </w:pPr>
            <w:r w:rsidRPr="009F0E48">
              <w:rPr>
                <w:b/>
                <w:bCs/>
                <w:color w:val="2F5496" w:themeColor="accent1" w:themeShade="BF"/>
              </w:rPr>
              <w:t>Yes, actual role utilisation will be determined during the framework based on specific support requests, maintenance activities, change requests and call-off engagements.</w:t>
            </w:r>
          </w:p>
        </w:tc>
      </w:tr>
      <w:tr w:rsidR="009F0E48" w:rsidRPr="007F4174" w14:paraId="2164F796" w14:textId="77777777" w:rsidTr="07BFE459">
        <w:trPr>
          <w:gridAfter w:val="1"/>
          <w:wAfter w:w="12" w:type="dxa"/>
        </w:trPr>
        <w:tc>
          <w:tcPr>
            <w:tcW w:w="553" w:type="dxa"/>
          </w:tcPr>
          <w:p w14:paraId="0EECF690" w14:textId="5F8C75BA" w:rsidR="009F0E48" w:rsidRPr="009F0E48" w:rsidRDefault="006242BF" w:rsidP="00094F5B">
            <w:pPr>
              <w:rPr>
                <w:rFonts w:ascii="Brother 1816 Light" w:hAnsi="Brother 1816 Light"/>
                <w:color w:val="2F5496" w:themeColor="accent1" w:themeShade="BF"/>
                <w:sz w:val="21"/>
                <w:szCs w:val="21"/>
                <w:shd w:val="clear" w:color="auto" w:fill="FFFFFF"/>
              </w:rPr>
            </w:pPr>
            <w:r>
              <w:rPr>
                <w:rFonts w:ascii="Brother 1816 Light" w:hAnsi="Brother 1816 Light"/>
                <w:color w:val="2F5496" w:themeColor="accent1" w:themeShade="BF"/>
                <w:sz w:val="21"/>
                <w:szCs w:val="21"/>
                <w:shd w:val="clear" w:color="auto" w:fill="FFFFFF"/>
              </w:rPr>
              <w:t>18.</w:t>
            </w:r>
          </w:p>
        </w:tc>
        <w:tc>
          <w:tcPr>
            <w:tcW w:w="3818" w:type="dxa"/>
          </w:tcPr>
          <w:p w14:paraId="34B33D62" w14:textId="46CFF913" w:rsidR="006242BF" w:rsidRPr="006242BF" w:rsidRDefault="006242BF" w:rsidP="006242BF">
            <w:pPr>
              <w:spacing w:line="240" w:lineRule="auto"/>
              <w:rPr>
                <w:color w:val="2F5496" w:themeColor="accent1" w:themeShade="BF"/>
              </w:rPr>
            </w:pPr>
            <w:r w:rsidRPr="006242BF">
              <w:rPr>
                <w:color w:val="2F5496" w:themeColor="accent1" w:themeShade="BF"/>
              </w:rPr>
              <w:t>Resource evidence and CVs</w:t>
            </w:r>
            <w:r>
              <w:rPr>
                <w:color w:val="2F5496" w:themeColor="accent1" w:themeShade="BF"/>
              </w:rPr>
              <w:t>-</w:t>
            </w:r>
            <w:r w:rsidRPr="006242BF">
              <w:rPr>
                <w:color w:val="2F5496" w:themeColor="accent1" w:themeShade="BF"/>
              </w:rPr>
              <w:t>The Lot 1 TRD requires tenderers to provide details of proposed resources, including role name, relevant skills and qualifications, and relevant years of experience.</w:t>
            </w:r>
          </w:p>
          <w:p w14:paraId="5B46A9AC" w14:textId="77777777" w:rsidR="006242BF" w:rsidRPr="006242BF" w:rsidRDefault="006242BF" w:rsidP="006242BF">
            <w:pPr>
              <w:spacing w:line="240" w:lineRule="auto"/>
              <w:rPr>
                <w:color w:val="2F5496" w:themeColor="accent1" w:themeShade="BF"/>
              </w:rPr>
            </w:pPr>
          </w:p>
          <w:p w14:paraId="33BBA0EB" w14:textId="40E819DB" w:rsidR="009F0E48" w:rsidRPr="007F4174" w:rsidRDefault="006242BF" w:rsidP="006242BF">
            <w:pPr>
              <w:spacing w:line="240" w:lineRule="auto"/>
              <w:rPr>
                <w:color w:val="2F5496" w:themeColor="accent1" w:themeShade="BF"/>
              </w:rPr>
            </w:pPr>
            <w:r w:rsidRPr="006242BF">
              <w:rPr>
                <w:color w:val="2F5496" w:themeColor="accent1" w:themeShade="BF"/>
              </w:rPr>
              <w:t xml:space="preserve">Please confirm whether tenderers are required to submit full CVs for proposed resources as part of the tender submission, or whether completion of the TRD resource tables with named resources, skills/qualifications and years </w:t>
            </w:r>
            <w:r w:rsidRPr="006242BF">
              <w:rPr>
                <w:color w:val="2F5496" w:themeColor="accent1" w:themeShade="BF"/>
              </w:rPr>
              <w:lastRenderedPageBreak/>
              <w:t>of experience is sufficient at submission stage, with full CVs or supporting evidence to be provided only if requested during clarification or prior to award.</w:t>
            </w:r>
          </w:p>
        </w:tc>
        <w:tc>
          <w:tcPr>
            <w:tcW w:w="4490" w:type="dxa"/>
            <w:gridSpan w:val="2"/>
          </w:tcPr>
          <w:p w14:paraId="40193076" w14:textId="32C41F2A" w:rsidR="009F0E48" w:rsidRPr="009F0E48" w:rsidRDefault="00807FA5" w:rsidP="009F0E48">
            <w:pPr>
              <w:spacing w:line="240" w:lineRule="auto"/>
              <w:jc w:val="both"/>
              <w:rPr>
                <w:b/>
                <w:bCs/>
                <w:color w:val="2F5496" w:themeColor="accent1" w:themeShade="BF"/>
              </w:rPr>
            </w:pPr>
            <w:r w:rsidRPr="00807FA5">
              <w:rPr>
                <w:b/>
                <w:bCs/>
                <w:color w:val="2F5496" w:themeColor="accent1" w:themeShade="BF"/>
              </w:rPr>
              <w:lastRenderedPageBreak/>
              <w:t xml:space="preserve">No there is no requirement to submit full CV's, completion of the TRD </w:t>
            </w:r>
            <w:proofErr w:type="gramStart"/>
            <w:r w:rsidRPr="00807FA5">
              <w:rPr>
                <w:b/>
                <w:bCs/>
                <w:color w:val="2F5496" w:themeColor="accent1" w:themeShade="BF"/>
              </w:rPr>
              <w:t>table(</w:t>
            </w:r>
            <w:proofErr w:type="gramEnd"/>
            <w:r w:rsidRPr="00807FA5">
              <w:rPr>
                <w:b/>
                <w:bCs/>
                <w:color w:val="2F5496" w:themeColor="accent1" w:themeShade="BF"/>
              </w:rPr>
              <w:t>Criterion B, item 3) is what is required.</w:t>
            </w:r>
          </w:p>
        </w:tc>
      </w:tr>
      <w:tr w:rsidR="009F0E48" w:rsidRPr="007F4174" w14:paraId="318D4D68" w14:textId="77777777" w:rsidTr="07BFE459">
        <w:trPr>
          <w:gridAfter w:val="1"/>
          <w:wAfter w:w="12" w:type="dxa"/>
        </w:trPr>
        <w:tc>
          <w:tcPr>
            <w:tcW w:w="553" w:type="dxa"/>
          </w:tcPr>
          <w:p w14:paraId="09878EF0" w14:textId="59B00F06" w:rsidR="009F0E48" w:rsidRPr="00807FA5" w:rsidRDefault="00807FA5" w:rsidP="00094F5B">
            <w:pPr>
              <w:rPr>
                <w:rFonts w:ascii="Brother 1816 Light" w:hAnsi="Brother 1816 Light"/>
                <w:b/>
                <w:bCs/>
                <w:color w:val="2F5496" w:themeColor="accent1" w:themeShade="BF"/>
                <w:sz w:val="21"/>
                <w:szCs w:val="21"/>
                <w:shd w:val="clear" w:color="auto" w:fill="FFFFFF"/>
              </w:rPr>
            </w:pPr>
            <w:r w:rsidRPr="00807FA5">
              <w:rPr>
                <w:rFonts w:ascii="Brother 1816 Light" w:hAnsi="Brother 1816 Light"/>
                <w:b/>
                <w:bCs/>
                <w:color w:val="2F5496" w:themeColor="accent1" w:themeShade="BF"/>
                <w:sz w:val="21"/>
                <w:szCs w:val="21"/>
                <w:shd w:val="clear" w:color="auto" w:fill="FFFFFF"/>
              </w:rPr>
              <w:t>19.</w:t>
            </w:r>
          </w:p>
        </w:tc>
        <w:tc>
          <w:tcPr>
            <w:tcW w:w="3818" w:type="dxa"/>
          </w:tcPr>
          <w:p w14:paraId="243FE617" w14:textId="77E3CD63" w:rsidR="00807FA5" w:rsidRPr="00807FA5" w:rsidRDefault="00807FA5" w:rsidP="00807FA5">
            <w:pPr>
              <w:spacing w:line="240" w:lineRule="auto"/>
              <w:rPr>
                <w:color w:val="2F5496" w:themeColor="accent1" w:themeShade="BF"/>
              </w:rPr>
            </w:pPr>
            <w:r w:rsidRPr="00807FA5">
              <w:rPr>
                <w:color w:val="2F5496" w:themeColor="accent1" w:themeShade="BF"/>
              </w:rPr>
              <w:t>Subcontractors and third-party resource evidence</w:t>
            </w:r>
            <w:r>
              <w:rPr>
                <w:color w:val="2F5496" w:themeColor="accent1" w:themeShade="BF"/>
              </w:rPr>
              <w:t xml:space="preserve">- </w:t>
            </w:r>
            <w:r w:rsidRPr="00807FA5">
              <w:rPr>
                <w:color w:val="2F5496" w:themeColor="accent1" w:themeShade="BF"/>
              </w:rPr>
              <w:t>The RFT and TRD allow tenderers to rely on the resources of other entities, provided those resources are fully described and available when required.</w:t>
            </w:r>
          </w:p>
          <w:p w14:paraId="426AD4E0" w14:textId="77777777" w:rsidR="00807FA5" w:rsidRPr="00807FA5" w:rsidRDefault="00807FA5" w:rsidP="00807FA5">
            <w:pPr>
              <w:spacing w:line="240" w:lineRule="auto"/>
              <w:rPr>
                <w:color w:val="2F5496" w:themeColor="accent1" w:themeShade="BF"/>
              </w:rPr>
            </w:pPr>
          </w:p>
          <w:p w14:paraId="308334FA" w14:textId="17756B05" w:rsidR="009F0E48" w:rsidRPr="007F4174" w:rsidRDefault="00807FA5" w:rsidP="00807FA5">
            <w:pPr>
              <w:spacing w:line="240" w:lineRule="auto"/>
              <w:rPr>
                <w:color w:val="2F5496" w:themeColor="accent1" w:themeShade="BF"/>
              </w:rPr>
            </w:pPr>
            <w:r w:rsidRPr="00807FA5">
              <w:rPr>
                <w:color w:val="2F5496" w:themeColor="accent1" w:themeShade="BF"/>
              </w:rPr>
              <w:t>Please confirm what evidence is expected at tender submission stage where a tenderer relies on subcontractors or third-party resources to meet the Lot 1 role requirements. For example, should tenderers provide letters of commitment, named resources, CVs, signed agreements, or is identification of the subcontractor, role/FTE contribution and relevant experience sufficient at submission stage, with further evidence to be provided on request?</w:t>
            </w:r>
          </w:p>
        </w:tc>
        <w:tc>
          <w:tcPr>
            <w:tcW w:w="4490" w:type="dxa"/>
            <w:gridSpan w:val="2"/>
          </w:tcPr>
          <w:p w14:paraId="34941F9B" w14:textId="4D9C910E" w:rsidR="009F0E48" w:rsidRPr="009F0E48" w:rsidRDefault="00D81FDE" w:rsidP="009F0E48">
            <w:pPr>
              <w:spacing w:line="240" w:lineRule="auto"/>
              <w:jc w:val="both"/>
              <w:rPr>
                <w:b/>
                <w:bCs/>
                <w:color w:val="2F5496" w:themeColor="accent1" w:themeShade="BF"/>
              </w:rPr>
            </w:pPr>
            <w:r w:rsidRPr="00D81FDE">
              <w:rPr>
                <w:b/>
                <w:bCs/>
                <w:color w:val="2F5496" w:themeColor="accent1" w:themeShade="BF"/>
              </w:rPr>
              <w:t xml:space="preserve">There is no evidence required at the tender submission stage, tenders may self-declare in the TRD any sub-contractors they are using (Section-"General Contact Information") and the "Number of </w:t>
            </w:r>
            <w:proofErr w:type="gramStart"/>
            <w:r w:rsidRPr="00D81FDE">
              <w:rPr>
                <w:b/>
                <w:bCs/>
                <w:color w:val="2F5496" w:themeColor="accent1" w:themeShade="BF"/>
              </w:rPr>
              <w:t>Full time</w:t>
            </w:r>
            <w:proofErr w:type="gramEnd"/>
            <w:r w:rsidRPr="00D81FDE">
              <w:rPr>
                <w:b/>
                <w:bCs/>
                <w:color w:val="2F5496" w:themeColor="accent1" w:themeShade="BF"/>
              </w:rPr>
              <w:t xml:space="preserve"> equivalents provided by 3rd parties</w:t>
            </w:r>
            <w:proofErr w:type="gramStart"/>
            <w:r w:rsidRPr="00D81FDE">
              <w:rPr>
                <w:b/>
                <w:bCs/>
                <w:color w:val="2F5496" w:themeColor="accent1" w:themeShade="BF"/>
              </w:rPr>
              <w:t>"  in</w:t>
            </w:r>
            <w:proofErr w:type="gramEnd"/>
            <w:r w:rsidRPr="00D81FDE">
              <w:rPr>
                <w:b/>
                <w:bCs/>
                <w:color w:val="2F5496" w:themeColor="accent1" w:themeShade="BF"/>
              </w:rPr>
              <w:t xml:space="preserve"> the table within "Personnel and Skills – Pass/Fail Criteria</w:t>
            </w:r>
            <w:proofErr w:type="gramStart"/>
            <w:r w:rsidRPr="00D81FDE">
              <w:rPr>
                <w:b/>
                <w:bCs/>
                <w:color w:val="2F5496" w:themeColor="accent1" w:themeShade="BF"/>
              </w:rPr>
              <w:t>" .</w:t>
            </w:r>
            <w:proofErr w:type="gramEnd"/>
          </w:p>
        </w:tc>
      </w:tr>
      <w:tr w:rsidR="009F0E48" w:rsidRPr="007F4174" w14:paraId="13773D86" w14:textId="77777777" w:rsidTr="07BFE459">
        <w:trPr>
          <w:gridAfter w:val="1"/>
          <w:wAfter w:w="12" w:type="dxa"/>
        </w:trPr>
        <w:tc>
          <w:tcPr>
            <w:tcW w:w="553" w:type="dxa"/>
          </w:tcPr>
          <w:p w14:paraId="1CDB60C1" w14:textId="3B91D1C6" w:rsidR="009F0E48" w:rsidRPr="00D81FDE" w:rsidRDefault="00D81FDE" w:rsidP="00094F5B">
            <w:pPr>
              <w:rPr>
                <w:rFonts w:ascii="Brother 1816 Light" w:hAnsi="Brother 1816 Light"/>
                <w:b/>
                <w:bCs/>
                <w:color w:val="2F5496" w:themeColor="accent1" w:themeShade="BF"/>
                <w:sz w:val="21"/>
                <w:szCs w:val="21"/>
                <w:shd w:val="clear" w:color="auto" w:fill="FFFFFF"/>
              </w:rPr>
            </w:pPr>
            <w:r w:rsidRPr="00D81FDE">
              <w:rPr>
                <w:rFonts w:ascii="Brother 1816 Light" w:hAnsi="Brother 1816 Light"/>
                <w:b/>
                <w:bCs/>
                <w:color w:val="2F5496" w:themeColor="accent1" w:themeShade="BF"/>
                <w:sz w:val="21"/>
                <w:szCs w:val="21"/>
                <w:shd w:val="clear" w:color="auto" w:fill="FFFFFF"/>
              </w:rPr>
              <w:t>20.</w:t>
            </w:r>
          </w:p>
        </w:tc>
        <w:tc>
          <w:tcPr>
            <w:tcW w:w="3818" w:type="dxa"/>
          </w:tcPr>
          <w:p w14:paraId="7BF0CB8F" w14:textId="5E540879" w:rsidR="00D81FDE" w:rsidRPr="00D81FDE" w:rsidRDefault="00D81FDE" w:rsidP="00D81FDE">
            <w:pPr>
              <w:spacing w:line="240" w:lineRule="auto"/>
              <w:rPr>
                <w:color w:val="2F5496" w:themeColor="accent1" w:themeShade="BF"/>
              </w:rPr>
            </w:pPr>
            <w:r w:rsidRPr="00D81FDE">
              <w:rPr>
                <w:color w:val="2F5496" w:themeColor="accent1" w:themeShade="BF"/>
              </w:rPr>
              <w:t>Incoming handover to successful Lot 1 supplier</w:t>
            </w:r>
            <w:r>
              <w:rPr>
                <w:color w:val="2F5496" w:themeColor="accent1" w:themeShade="BF"/>
              </w:rPr>
              <w:t>-</w:t>
            </w:r>
            <w:r w:rsidRPr="00D81FDE">
              <w:rPr>
                <w:color w:val="2F5496" w:themeColor="accent1" w:themeShade="BF"/>
              </w:rPr>
              <w:t>The Lot 1 TRD requires tenderers to describe their proposed handover process at the end of the framework and/or any contract concluded under it. However, it is not clear what onboarding or incoming handover support will be provided to the successful tenderer at contract commencement.</w:t>
            </w:r>
          </w:p>
          <w:p w14:paraId="5FBE38FD" w14:textId="77777777" w:rsidR="00D81FDE" w:rsidRPr="00D81FDE" w:rsidRDefault="00D81FDE" w:rsidP="00D81FDE">
            <w:pPr>
              <w:spacing w:line="240" w:lineRule="auto"/>
              <w:rPr>
                <w:color w:val="2F5496" w:themeColor="accent1" w:themeShade="BF"/>
              </w:rPr>
            </w:pPr>
          </w:p>
          <w:p w14:paraId="1F9D2E7C" w14:textId="77777777" w:rsidR="00D81FDE" w:rsidRPr="00D81FDE" w:rsidRDefault="00D81FDE" w:rsidP="00D81FDE">
            <w:pPr>
              <w:spacing w:line="240" w:lineRule="auto"/>
              <w:rPr>
                <w:color w:val="2F5496" w:themeColor="accent1" w:themeShade="BF"/>
              </w:rPr>
            </w:pPr>
            <w:r w:rsidRPr="00D81FDE">
              <w:rPr>
                <w:color w:val="2F5496" w:themeColor="accent1" w:themeShade="BF"/>
              </w:rPr>
              <w:t>Please confirm whether, following framework award and prior to commencement of the initial support and maintenance contract, LGMA and/or the incumbent supplier will provide a structured onboarding/handover process to the successful Lot 1 tenderer.</w:t>
            </w:r>
          </w:p>
          <w:p w14:paraId="6C0D0617" w14:textId="77777777" w:rsidR="00D81FDE" w:rsidRPr="00D81FDE" w:rsidRDefault="00D81FDE" w:rsidP="00D81FDE">
            <w:pPr>
              <w:spacing w:line="240" w:lineRule="auto"/>
              <w:rPr>
                <w:color w:val="2F5496" w:themeColor="accent1" w:themeShade="BF"/>
              </w:rPr>
            </w:pPr>
          </w:p>
          <w:p w14:paraId="271B9159" w14:textId="4AAF7F4A" w:rsidR="009F0E48" w:rsidRPr="007F4174" w:rsidRDefault="00D81FDE" w:rsidP="00D81FDE">
            <w:pPr>
              <w:spacing w:line="240" w:lineRule="auto"/>
              <w:rPr>
                <w:color w:val="2F5496" w:themeColor="accent1" w:themeShade="BF"/>
              </w:rPr>
            </w:pPr>
            <w:r w:rsidRPr="00D81FDE">
              <w:rPr>
                <w:color w:val="2F5496" w:themeColor="accent1" w:themeShade="BF"/>
              </w:rPr>
              <w:t xml:space="preserve">If so, please indicate what artefacts will be made available, such as current technical documentation, architecture/design documentation, </w:t>
            </w:r>
            <w:r w:rsidRPr="00D81FDE">
              <w:rPr>
                <w:color w:val="2F5496" w:themeColor="accent1" w:themeShade="BF"/>
              </w:rPr>
              <w:lastRenderedPageBreak/>
              <w:t>source-code repository access, deployment/release procedures, known issues, support history, environment/configuration information, data models, integration specifications and operational support procedures.</w:t>
            </w:r>
          </w:p>
        </w:tc>
        <w:tc>
          <w:tcPr>
            <w:tcW w:w="4490" w:type="dxa"/>
            <w:gridSpan w:val="2"/>
          </w:tcPr>
          <w:p w14:paraId="33C86064" w14:textId="77777777" w:rsidR="0087644A" w:rsidRPr="0087644A" w:rsidRDefault="0087644A" w:rsidP="0087644A">
            <w:pPr>
              <w:spacing w:line="240" w:lineRule="auto"/>
              <w:jc w:val="both"/>
              <w:rPr>
                <w:b/>
                <w:bCs/>
                <w:color w:val="2F5496" w:themeColor="accent1" w:themeShade="BF"/>
              </w:rPr>
            </w:pPr>
            <w:r w:rsidRPr="0087644A">
              <w:rPr>
                <w:b/>
                <w:bCs/>
                <w:color w:val="2F5496" w:themeColor="accent1" w:themeShade="BF"/>
              </w:rPr>
              <w:lastRenderedPageBreak/>
              <w:t>The LGMA recognises that a handover may be required and intend to work with the incumbent and the successful tenderer to achieve a smooth transition.</w:t>
            </w:r>
          </w:p>
          <w:p w14:paraId="4CF0C3C0" w14:textId="77777777" w:rsidR="0087644A" w:rsidRPr="0087644A" w:rsidRDefault="0087644A" w:rsidP="0087644A">
            <w:pPr>
              <w:spacing w:line="240" w:lineRule="auto"/>
              <w:jc w:val="both"/>
              <w:rPr>
                <w:b/>
                <w:bCs/>
                <w:color w:val="2F5496" w:themeColor="accent1" w:themeShade="BF"/>
              </w:rPr>
            </w:pPr>
          </w:p>
          <w:p w14:paraId="67A3D6E0" w14:textId="4B9277B6" w:rsidR="009F0E48" w:rsidRPr="009F0E48" w:rsidRDefault="0087644A" w:rsidP="0087644A">
            <w:pPr>
              <w:spacing w:line="240" w:lineRule="auto"/>
              <w:jc w:val="both"/>
              <w:rPr>
                <w:b/>
                <w:bCs/>
                <w:color w:val="2F5496" w:themeColor="accent1" w:themeShade="BF"/>
              </w:rPr>
            </w:pPr>
            <w:r w:rsidRPr="0087644A">
              <w:rPr>
                <w:b/>
                <w:bCs/>
                <w:color w:val="2F5496" w:themeColor="accent1" w:themeShade="BF"/>
              </w:rPr>
              <w:t xml:space="preserve">Yes, the successful tenderer will be provided with access to all available artefacts.  </w:t>
            </w:r>
          </w:p>
        </w:tc>
      </w:tr>
      <w:tr w:rsidR="009F0E48" w:rsidRPr="007F4174" w14:paraId="18869615" w14:textId="77777777" w:rsidTr="07BFE459">
        <w:trPr>
          <w:gridAfter w:val="1"/>
          <w:wAfter w:w="12" w:type="dxa"/>
        </w:trPr>
        <w:tc>
          <w:tcPr>
            <w:tcW w:w="553" w:type="dxa"/>
          </w:tcPr>
          <w:p w14:paraId="64D61299" w14:textId="1FF7A2A4" w:rsidR="009F0E48" w:rsidRPr="00D81FDE" w:rsidRDefault="0087644A"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21.</w:t>
            </w:r>
          </w:p>
        </w:tc>
        <w:tc>
          <w:tcPr>
            <w:tcW w:w="3818" w:type="dxa"/>
          </w:tcPr>
          <w:p w14:paraId="49DAA230" w14:textId="3CF980ED" w:rsidR="008A23C1" w:rsidRPr="008A23C1" w:rsidRDefault="008A23C1" w:rsidP="008A23C1">
            <w:pPr>
              <w:spacing w:line="240" w:lineRule="auto"/>
              <w:rPr>
                <w:color w:val="2F5496" w:themeColor="accent1" w:themeShade="BF"/>
              </w:rPr>
            </w:pPr>
            <w:r w:rsidRPr="008A23C1">
              <w:rPr>
                <w:color w:val="2F5496" w:themeColor="accent1" w:themeShade="BF"/>
              </w:rPr>
              <w:t>Prior knowledge of LGMA systems</w:t>
            </w:r>
            <w:r>
              <w:rPr>
                <w:color w:val="2F5496" w:themeColor="accent1" w:themeShade="BF"/>
              </w:rPr>
              <w:t>-</w:t>
            </w:r>
          </w:p>
          <w:p w14:paraId="03945492" w14:textId="638CEA72" w:rsidR="009F0E48" w:rsidRPr="007F4174" w:rsidRDefault="008A23C1" w:rsidP="008A23C1">
            <w:pPr>
              <w:spacing w:line="240" w:lineRule="auto"/>
              <w:rPr>
                <w:color w:val="2F5496" w:themeColor="accent1" w:themeShade="BF"/>
              </w:rPr>
            </w:pPr>
            <w:r w:rsidRPr="008A23C1">
              <w:rPr>
                <w:color w:val="2F5496" w:themeColor="accent1" w:themeShade="BF"/>
              </w:rPr>
              <w:t>Please confirm whether prior knowledge of the existing Lot 1 systems is a mandatory requirement for tenderers, or whether tenderers may demonstrate suitability through comparable experience in supporting, maintaining and developing similar national-scale, critical .NET / SQL Server systems, together with a proposed onboarding and knowledge-acquisition approach.</w:t>
            </w:r>
          </w:p>
        </w:tc>
        <w:tc>
          <w:tcPr>
            <w:tcW w:w="4490" w:type="dxa"/>
            <w:gridSpan w:val="2"/>
          </w:tcPr>
          <w:p w14:paraId="6C7D2879" w14:textId="646A7105" w:rsidR="009F0E48" w:rsidRPr="009F0E48" w:rsidRDefault="008A23C1" w:rsidP="009F0E48">
            <w:pPr>
              <w:spacing w:line="240" w:lineRule="auto"/>
              <w:jc w:val="both"/>
              <w:rPr>
                <w:b/>
                <w:bCs/>
                <w:color w:val="2F5496" w:themeColor="accent1" w:themeShade="BF"/>
              </w:rPr>
            </w:pPr>
            <w:r w:rsidRPr="008A23C1">
              <w:rPr>
                <w:b/>
                <w:bCs/>
                <w:color w:val="2F5496" w:themeColor="accent1" w:themeShade="BF"/>
              </w:rPr>
              <w:t>No, prior knowledge of existing systems is not a requirement.</w:t>
            </w:r>
          </w:p>
        </w:tc>
      </w:tr>
      <w:tr w:rsidR="009F0E48" w:rsidRPr="007F4174" w14:paraId="04EC3146" w14:textId="77777777" w:rsidTr="07BFE459">
        <w:trPr>
          <w:gridAfter w:val="1"/>
          <w:wAfter w:w="12" w:type="dxa"/>
        </w:trPr>
        <w:tc>
          <w:tcPr>
            <w:tcW w:w="553" w:type="dxa"/>
          </w:tcPr>
          <w:p w14:paraId="194C523A" w14:textId="37FBDCC8" w:rsidR="009F0E48" w:rsidRPr="008A23C1" w:rsidRDefault="008A23C1"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22.</w:t>
            </w:r>
          </w:p>
        </w:tc>
        <w:tc>
          <w:tcPr>
            <w:tcW w:w="3818" w:type="dxa"/>
          </w:tcPr>
          <w:p w14:paraId="5D991506" w14:textId="63C06C08" w:rsidR="001916D6" w:rsidRPr="001916D6" w:rsidRDefault="001916D6" w:rsidP="001916D6">
            <w:pPr>
              <w:spacing w:line="240" w:lineRule="auto"/>
              <w:rPr>
                <w:color w:val="2F5496" w:themeColor="accent1" w:themeShade="BF"/>
              </w:rPr>
            </w:pPr>
            <w:r w:rsidRPr="001916D6">
              <w:rPr>
                <w:color w:val="2F5496" w:themeColor="accent1" w:themeShade="BF"/>
              </w:rPr>
              <w:t>Onsite attendance and delivery location</w:t>
            </w:r>
            <w:r>
              <w:rPr>
                <w:color w:val="2F5496" w:themeColor="accent1" w:themeShade="BF"/>
              </w:rPr>
              <w:t xml:space="preserve">- </w:t>
            </w:r>
            <w:r w:rsidRPr="001916D6">
              <w:rPr>
                <w:color w:val="2F5496" w:themeColor="accent1" w:themeShade="BF"/>
              </w:rPr>
              <w:t>The Lot 1 role table includes “Network/Server Admin/Onsite Deployments and Support Engineer,” but the RFT appears to describe a support and maintenance model that may largely be delivered remotely.</w:t>
            </w:r>
          </w:p>
          <w:p w14:paraId="54C86E35" w14:textId="77777777" w:rsidR="001916D6" w:rsidRPr="001916D6" w:rsidRDefault="001916D6" w:rsidP="001916D6">
            <w:pPr>
              <w:spacing w:line="240" w:lineRule="auto"/>
              <w:rPr>
                <w:color w:val="2F5496" w:themeColor="accent1" w:themeShade="BF"/>
              </w:rPr>
            </w:pPr>
          </w:p>
          <w:p w14:paraId="1FFB3930" w14:textId="2838B7BB" w:rsidR="009F0E48" w:rsidRPr="007F4174" w:rsidRDefault="001916D6" w:rsidP="001916D6">
            <w:pPr>
              <w:spacing w:line="240" w:lineRule="auto"/>
              <w:rPr>
                <w:color w:val="2F5496" w:themeColor="accent1" w:themeShade="BF"/>
              </w:rPr>
            </w:pPr>
            <w:r w:rsidRPr="001916D6">
              <w:rPr>
                <w:color w:val="2F5496" w:themeColor="accent1" w:themeShade="BF"/>
              </w:rPr>
              <w:t>Please confirm whether there is any mandatory onsite presence requirement for Lot 1 service delivery. If onsite attendance is expected, please clarify the expected circumstances, locations, frequency and whether onsite work is limited to specific activities such as deployment support, workshops, verification meetings, incident resolution or governance meetings.</w:t>
            </w:r>
          </w:p>
        </w:tc>
        <w:tc>
          <w:tcPr>
            <w:tcW w:w="4490" w:type="dxa"/>
            <w:gridSpan w:val="2"/>
          </w:tcPr>
          <w:p w14:paraId="03CDB02C" w14:textId="1CBA421A" w:rsidR="009F0E48" w:rsidRPr="009F0E48" w:rsidRDefault="001916D6" w:rsidP="009F0E48">
            <w:pPr>
              <w:spacing w:line="240" w:lineRule="auto"/>
              <w:jc w:val="both"/>
              <w:rPr>
                <w:b/>
                <w:bCs/>
                <w:color w:val="2F5496" w:themeColor="accent1" w:themeShade="BF"/>
              </w:rPr>
            </w:pPr>
            <w:r w:rsidRPr="001916D6">
              <w:rPr>
                <w:b/>
                <w:bCs/>
                <w:color w:val="2F5496" w:themeColor="accent1" w:themeShade="BF"/>
              </w:rPr>
              <w:t>No</w:t>
            </w:r>
            <w:r>
              <w:rPr>
                <w:b/>
                <w:bCs/>
                <w:color w:val="2F5496" w:themeColor="accent1" w:themeShade="BF"/>
              </w:rPr>
              <w:t>,</w:t>
            </w:r>
            <w:r w:rsidRPr="001916D6">
              <w:rPr>
                <w:b/>
                <w:bCs/>
                <w:color w:val="2F5496" w:themeColor="accent1" w:themeShade="BF"/>
              </w:rPr>
              <w:t xml:space="preserve"> there is no mandatory site presence required.</w:t>
            </w:r>
          </w:p>
        </w:tc>
      </w:tr>
      <w:tr w:rsidR="008A23C1" w:rsidRPr="007F4174" w14:paraId="2718D6AF" w14:textId="77777777" w:rsidTr="07BFE459">
        <w:trPr>
          <w:gridAfter w:val="1"/>
          <w:wAfter w:w="12" w:type="dxa"/>
        </w:trPr>
        <w:tc>
          <w:tcPr>
            <w:tcW w:w="553" w:type="dxa"/>
          </w:tcPr>
          <w:p w14:paraId="1CD2076D" w14:textId="56D6496B" w:rsidR="008A23C1" w:rsidRPr="008A23C1" w:rsidRDefault="001916D6"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23.</w:t>
            </w:r>
          </w:p>
        </w:tc>
        <w:tc>
          <w:tcPr>
            <w:tcW w:w="3818" w:type="dxa"/>
          </w:tcPr>
          <w:p w14:paraId="0B18EB77" w14:textId="7A03F827" w:rsidR="00E7144D" w:rsidRPr="00E7144D" w:rsidRDefault="00E7144D" w:rsidP="00E7144D">
            <w:pPr>
              <w:spacing w:line="240" w:lineRule="auto"/>
              <w:rPr>
                <w:color w:val="2F5496" w:themeColor="accent1" w:themeShade="BF"/>
              </w:rPr>
            </w:pPr>
            <w:r w:rsidRPr="00E7144D">
              <w:rPr>
                <w:color w:val="2F5496" w:themeColor="accent1" w:themeShade="BF"/>
              </w:rPr>
              <w:t>Insurance evidence at submission stage</w:t>
            </w:r>
            <w:r>
              <w:rPr>
                <w:color w:val="2F5496" w:themeColor="accent1" w:themeShade="BF"/>
              </w:rPr>
              <w:t>-</w:t>
            </w:r>
          </w:p>
          <w:p w14:paraId="560DDB1E" w14:textId="544703CA" w:rsidR="00E7144D" w:rsidRPr="00E7144D" w:rsidRDefault="00E7144D" w:rsidP="00E7144D">
            <w:pPr>
              <w:spacing w:line="240" w:lineRule="auto"/>
              <w:rPr>
                <w:color w:val="2F5496" w:themeColor="accent1" w:themeShade="BF"/>
              </w:rPr>
            </w:pPr>
            <w:r w:rsidRPr="00E7144D">
              <w:rPr>
                <w:color w:val="2F5496" w:themeColor="accent1" w:themeShade="BF"/>
              </w:rPr>
              <w:t xml:space="preserve">The Lot 1 TRD lists required insurance levels and states that tenderers must confirm whether they have these insurances in </w:t>
            </w:r>
            <w:r w:rsidRPr="00E7144D">
              <w:rPr>
                <w:color w:val="2F5496" w:themeColor="accent1" w:themeShade="BF"/>
              </w:rPr>
              <w:t>place or</w:t>
            </w:r>
            <w:r w:rsidRPr="00E7144D">
              <w:rPr>
                <w:color w:val="2F5496" w:themeColor="accent1" w:themeShade="BF"/>
              </w:rPr>
              <w:t xml:space="preserve"> can put the required forms and levels of insurance in place if successful.</w:t>
            </w:r>
          </w:p>
          <w:p w14:paraId="6C9BF226" w14:textId="77777777" w:rsidR="00E7144D" w:rsidRPr="00E7144D" w:rsidRDefault="00E7144D" w:rsidP="00E7144D">
            <w:pPr>
              <w:spacing w:line="240" w:lineRule="auto"/>
              <w:rPr>
                <w:color w:val="2F5496" w:themeColor="accent1" w:themeShade="BF"/>
              </w:rPr>
            </w:pPr>
          </w:p>
          <w:p w14:paraId="4073B50B" w14:textId="35A59D5B" w:rsidR="008A23C1" w:rsidRPr="007F4174" w:rsidRDefault="00E7144D" w:rsidP="00E7144D">
            <w:pPr>
              <w:spacing w:line="240" w:lineRule="auto"/>
              <w:rPr>
                <w:color w:val="2F5496" w:themeColor="accent1" w:themeShade="BF"/>
              </w:rPr>
            </w:pPr>
            <w:r w:rsidRPr="00E7144D">
              <w:rPr>
                <w:color w:val="2F5496" w:themeColor="accent1" w:themeShade="BF"/>
              </w:rPr>
              <w:t xml:space="preserve">Please confirm whether the required insurance levels must be fully in place at tender submission stage, or whether a </w:t>
            </w:r>
            <w:r w:rsidRPr="00E7144D">
              <w:rPr>
                <w:color w:val="2F5496" w:themeColor="accent1" w:themeShade="BF"/>
              </w:rPr>
              <w:lastRenderedPageBreak/>
              <w:t>letter from the tenderer’s insurance broker confirming that the required levels can be put in place if successful is sufficient at submission stage.</w:t>
            </w:r>
          </w:p>
        </w:tc>
        <w:tc>
          <w:tcPr>
            <w:tcW w:w="4490" w:type="dxa"/>
            <w:gridSpan w:val="2"/>
          </w:tcPr>
          <w:p w14:paraId="7AF95914" w14:textId="77777777" w:rsidR="00E7144D" w:rsidRPr="00E7144D" w:rsidRDefault="00E7144D" w:rsidP="00E7144D">
            <w:pPr>
              <w:spacing w:line="240" w:lineRule="auto"/>
              <w:jc w:val="both"/>
              <w:rPr>
                <w:b/>
                <w:bCs/>
                <w:color w:val="2F5496" w:themeColor="accent1" w:themeShade="BF"/>
              </w:rPr>
            </w:pPr>
            <w:r w:rsidRPr="00E7144D">
              <w:rPr>
                <w:b/>
                <w:bCs/>
                <w:color w:val="2F5496" w:themeColor="accent1" w:themeShade="BF"/>
              </w:rPr>
              <w:lastRenderedPageBreak/>
              <w:t xml:space="preserve">Tenderers may self-declare their insurance details at submission stage. </w:t>
            </w:r>
          </w:p>
          <w:p w14:paraId="4ADB5332" w14:textId="77777777" w:rsidR="00E7144D" w:rsidRPr="00E7144D" w:rsidRDefault="00E7144D" w:rsidP="00E7144D">
            <w:pPr>
              <w:spacing w:line="240" w:lineRule="auto"/>
              <w:jc w:val="both"/>
              <w:rPr>
                <w:b/>
                <w:bCs/>
                <w:color w:val="2F5496" w:themeColor="accent1" w:themeShade="BF"/>
              </w:rPr>
            </w:pPr>
          </w:p>
          <w:p w14:paraId="5B13739D" w14:textId="7BFE8F85" w:rsidR="00E7144D" w:rsidRPr="00E7144D" w:rsidRDefault="00E7144D" w:rsidP="00E7144D">
            <w:pPr>
              <w:spacing w:line="240" w:lineRule="auto"/>
              <w:jc w:val="both"/>
              <w:rPr>
                <w:b/>
                <w:bCs/>
                <w:color w:val="2F5496" w:themeColor="accent1" w:themeShade="BF"/>
              </w:rPr>
            </w:pPr>
            <w:r w:rsidRPr="00E7144D">
              <w:rPr>
                <w:b/>
                <w:bCs/>
                <w:color w:val="2F5496" w:themeColor="accent1" w:themeShade="BF"/>
              </w:rPr>
              <w:t>If the Tenderer is identified as the provisional winner (i.e. highest scoring on the Award Criteria) evidence supporting their self-declarations will be required - in the case of insurances that would be the letter. Note, the letter is not required at submission stage</w:t>
            </w:r>
            <w:r>
              <w:rPr>
                <w:b/>
                <w:bCs/>
                <w:color w:val="2F5496" w:themeColor="accent1" w:themeShade="BF"/>
              </w:rPr>
              <w:t xml:space="preserve"> </w:t>
            </w:r>
            <w:r w:rsidRPr="00E7144D">
              <w:rPr>
                <w:b/>
                <w:bCs/>
                <w:color w:val="2F5496" w:themeColor="accent1" w:themeShade="BF"/>
              </w:rPr>
              <w:t>and will only be required of the provisional winner.</w:t>
            </w:r>
          </w:p>
          <w:p w14:paraId="14472EB2" w14:textId="77777777" w:rsidR="00E7144D" w:rsidRPr="00E7144D" w:rsidRDefault="00E7144D" w:rsidP="00E7144D">
            <w:pPr>
              <w:spacing w:line="240" w:lineRule="auto"/>
              <w:jc w:val="both"/>
              <w:rPr>
                <w:b/>
                <w:bCs/>
                <w:color w:val="2F5496" w:themeColor="accent1" w:themeShade="BF"/>
              </w:rPr>
            </w:pPr>
          </w:p>
          <w:p w14:paraId="31F535AC" w14:textId="124E5C43" w:rsidR="008A23C1" w:rsidRPr="009F0E48" w:rsidRDefault="00E7144D" w:rsidP="00E7144D">
            <w:pPr>
              <w:spacing w:line="240" w:lineRule="auto"/>
              <w:jc w:val="both"/>
              <w:rPr>
                <w:b/>
                <w:bCs/>
                <w:color w:val="2F5496" w:themeColor="accent1" w:themeShade="BF"/>
              </w:rPr>
            </w:pPr>
            <w:r w:rsidRPr="00E7144D">
              <w:rPr>
                <w:b/>
                <w:bCs/>
                <w:color w:val="2F5496" w:themeColor="accent1" w:themeShade="BF"/>
              </w:rPr>
              <w:lastRenderedPageBreak/>
              <w:t>If the Tenderer is selected as the winner (i.e. letters are issued notifying the participants that the tender is concluded and the winner selected) then th</w:t>
            </w:r>
            <w:r>
              <w:rPr>
                <w:b/>
                <w:bCs/>
                <w:color w:val="2F5496" w:themeColor="accent1" w:themeShade="BF"/>
              </w:rPr>
              <w:t>e</w:t>
            </w:r>
            <w:r w:rsidRPr="00E7144D">
              <w:rPr>
                <w:b/>
                <w:bCs/>
                <w:color w:val="2F5496" w:themeColor="accent1" w:themeShade="BF"/>
              </w:rPr>
              <w:t xml:space="preserve"> actual insurance levels must be in place before a contract is signed, which will happen after the standstill period.</w:t>
            </w:r>
          </w:p>
        </w:tc>
      </w:tr>
      <w:tr w:rsidR="008A23C1" w:rsidRPr="007F4174" w14:paraId="5CC40928" w14:textId="77777777" w:rsidTr="07BFE459">
        <w:trPr>
          <w:gridAfter w:val="1"/>
          <w:wAfter w:w="12" w:type="dxa"/>
        </w:trPr>
        <w:tc>
          <w:tcPr>
            <w:tcW w:w="553" w:type="dxa"/>
          </w:tcPr>
          <w:p w14:paraId="326704C7" w14:textId="2D846B83" w:rsidR="008A23C1" w:rsidRPr="008A23C1" w:rsidRDefault="00D546EF"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24.</w:t>
            </w:r>
          </w:p>
        </w:tc>
        <w:tc>
          <w:tcPr>
            <w:tcW w:w="3818" w:type="dxa"/>
          </w:tcPr>
          <w:p w14:paraId="1139EBF3" w14:textId="1E630D53" w:rsidR="00D546EF" w:rsidRPr="00D546EF" w:rsidRDefault="00D546EF" w:rsidP="00D546EF">
            <w:pPr>
              <w:spacing w:line="240" w:lineRule="auto"/>
              <w:rPr>
                <w:color w:val="2F5496" w:themeColor="accent1" w:themeShade="BF"/>
              </w:rPr>
            </w:pPr>
            <w:r w:rsidRPr="00D546EF">
              <w:rPr>
                <w:color w:val="2F5496" w:themeColor="accent1" w:themeShade="BF"/>
              </w:rPr>
              <w:t>Product Liability requirement for software services</w:t>
            </w:r>
            <w:r>
              <w:rPr>
                <w:color w:val="2F5496" w:themeColor="accent1" w:themeShade="BF"/>
              </w:rPr>
              <w:t xml:space="preserve">- </w:t>
            </w:r>
            <w:r w:rsidRPr="00D546EF">
              <w:rPr>
                <w:color w:val="2F5496" w:themeColor="accent1" w:themeShade="BF"/>
              </w:rPr>
              <w:t>The Lot 1 TRD includes a Product Liability insurance requirement. Please confirm whether this requirement applies to Lot 1 software support, maintenance and development services.</w:t>
            </w:r>
          </w:p>
          <w:p w14:paraId="761D7E96" w14:textId="77777777" w:rsidR="00D546EF" w:rsidRPr="00D546EF" w:rsidRDefault="00D546EF" w:rsidP="00D546EF">
            <w:pPr>
              <w:spacing w:line="240" w:lineRule="auto"/>
              <w:rPr>
                <w:color w:val="2F5496" w:themeColor="accent1" w:themeShade="BF"/>
              </w:rPr>
            </w:pPr>
          </w:p>
          <w:p w14:paraId="352F1831" w14:textId="648E369D" w:rsidR="008A23C1" w:rsidRPr="007F4174" w:rsidRDefault="00D546EF" w:rsidP="00D546EF">
            <w:pPr>
              <w:spacing w:line="240" w:lineRule="auto"/>
              <w:rPr>
                <w:color w:val="2F5496" w:themeColor="accent1" w:themeShade="BF"/>
              </w:rPr>
            </w:pPr>
            <w:r w:rsidRPr="00D546EF">
              <w:rPr>
                <w:color w:val="2F5496" w:themeColor="accent1" w:themeShade="BF"/>
              </w:rPr>
              <w:t>Please also confirm whether equivalent cover under a Professional Indemnity / Technology Errors and Omissions / Cyber or similar policy would be considered acceptable where such cover provides comparable protection for software and digital services.</w:t>
            </w:r>
          </w:p>
        </w:tc>
        <w:tc>
          <w:tcPr>
            <w:tcW w:w="4490" w:type="dxa"/>
            <w:gridSpan w:val="2"/>
          </w:tcPr>
          <w:p w14:paraId="6ABFD7BB" w14:textId="6BE684D8" w:rsidR="008A23C1" w:rsidRPr="009F0E48" w:rsidRDefault="00EF61A9" w:rsidP="009F0E48">
            <w:pPr>
              <w:spacing w:line="240" w:lineRule="auto"/>
              <w:jc w:val="both"/>
              <w:rPr>
                <w:b/>
                <w:bCs/>
                <w:color w:val="2F5496" w:themeColor="accent1" w:themeShade="BF"/>
              </w:rPr>
            </w:pPr>
            <w:r w:rsidRPr="00EF61A9">
              <w:rPr>
                <w:b/>
                <w:bCs/>
                <w:color w:val="2F5496" w:themeColor="accent1" w:themeShade="BF"/>
              </w:rPr>
              <w:t>Product liability is a standard insurance requirement for tenders, the fact that it is required does not suggest it is required to cover the support &amp; maintenance service (that's to be covered under professional indemnity). In this instance, Product Liability would cover what are probably fairly remote contingencies, such as the provision of a server or some other hardware by the provider under the terms of the contract.</w:t>
            </w:r>
          </w:p>
        </w:tc>
      </w:tr>
      <w:tr w:rsidR="008A23C1" w:rsidRPr="007F4174" w14:paraId="552E4AA0" w14:textId="77777777" w:rsidTr="07BFE459">
        <w:trPr>
          <w:gridAfter w:val="1"/>
          <w:wAfter w:w="12" w:type="dxa"/>
        </w:trPr>
        <w:tc>
          <w:tcPr>
            <w:tcW w:w="553" w:type="dxa"/>
          </w:tcPr>
          <w:p w14:paraId="7A9B3B31" w14:textId="1A600B0F" w:rsidR="008A23C1" w:rsidRPr="008A23C1" w:rsidRDefault="00BE1492"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25.</w:t>
            </w:r>
          </w:p>
        </w:tc>
        <w:tc>
          <w:tcPr>
            <w:tcW w:w="3818" w:type="dxa"/>
          </w:tcPr>
          <w:p w14:paraId="2DDA3590" w14:textId="36594807" w:rsidR="00150E7F" w:rsidRPr="00150E7F" w:rsidRDefault="00150E7F" w:rsidP="00150E7F">
            <w:pPr>
              <w:spacing w:line="240" w:lineRule="auto"/>
              <w:rPr>
                <w:color w:val="2F5496" w:themeColor="accent1" w:themeShade="BF"/>
              </w:rPr>
            </w:pPr>
            <w:r w:rsidRPr="00150E7F">
              <w:rPr>
                <w:color w:val="2F5496" w:themeColor="accent1" w:themeShade="BF"/>
              </w:rPr>
              <w:t>Final call-off liability and remedies</w:t>
            </w:r>
            <w:r>
              <w:rPr>
                <w:color w:val="2F5496" w:themeColor="accent1" w:themeShade="BF"/>
              </w:rPr>
              <w:t xml:space="preserve">- </w:t>
            </w:r>
            <w:r w:rsidRPr="00150E7F">
              <w:rPr>
                <w:color w:val="2F5496" w:themeColor="accent1" w:themeShade="BF"/>
              </w:rPr>
              <w:t>The sample call-off contract includes provisions relating to liability, retention amounts and liquidated damages, with some values appearing to be placeholders or to be completed later.</w:t>
            </w:r>
          </w:p>
          <w:p w14:paraId="2745A723" w14:textId="77777777" w:rsidR="00150E7F" w:rsidRPr="00150E7F" w:rsidRDefault="00150E7F" w:rsidP="00150E7F">
            <w:pPr>
              <w:spacing w:line="240" w:lineRule="auto"/>
              <w:rPr>
                <w:color w:val="2F5496" w:themeColor="accent1" w:themeShade="BF"/>
              </w:rPr>
            </w:pPr>
          </w:p>
          <w:p w14:paraId="303AB459" w14:textId="3629AAAE" w:rsidR="008A23C1" w:rsidRPr="007F4174" w:rsidRDefault="00150E7F" w:rsidP="00150E7F">
            <w:pPr>
              <w:spacing w:line="240" w:lineRule="auto"/>
              <w:rPr>
                <w:color w:val="2F5496" w:themeColor="accent1" w:themeShade="BF"/>
              </w:rPr>
            </w:pPr>
            <w:r w:rsidRPr="00150E7F">
              <w:rPr>
                <w:color w:val="2F5496" w:themeColor="accent1" w:themeShade="BF"/>
              </w:rPr>
              <w:t>Please confirm whether the final Lot 1 call-off contract will include specific liability caps, retention amounts, service credits and/or liquidated damages. If so, please identify where these values are defined in the tender documents or confirm when they will be specified.</w:t>
            </w:r>
          </w:p>
        </w:tc>
        <w:tc>
          <w:tcPr>
            <w:tcW w:w="4490" w:type="dxa"/>
            <w:gridSpan w:val="2"/>
          </w:tcPr>
          <w:p w14:paraId="57258363" w14:textId="359E8FD1" w:rsidR="008A23C1" w:rsidRPr="009F0E48" w:rsidRDefault="008F2009" w:rsidP="009F0E48">
            <w:pPr>
              <w:spacing w:line="240" w:lineRule="auto"/>
              <w:jc w:val="both"/>
              <w:rPr>
                <w:b/>
                <w:bCs/>
                <w:color w:val="2F5496" w:themeColor="accent1" w:themeShade="BF"/>
              </w:rPr>
            </w:pPr>
            <w:r w:rsidRPr="008F2009">
              <w:rPr>
                <w:b/>
                <w:bCs/>
                <w:color w:val="2F5496" w:themeColor="accent1" w:themeShade="BF"/>
              </w:rPr>
              <w:t>The individual call-off contracts will include these items as appropriate to the service being contracted. For the initial contracts for each lot, they will be specified once the frameworks have been awarded but before the call-off contracts are finalised and signed.</w:t>
            </w:r>
          </w:p>
        </w:tc>
      </w:tr>
      <w:tr w:rsidR="008A23C1" w:rsidRPr="007F4174" w14:paraId="77B50161" w14:textId="77777777" w:rsidTr="07BFE459">
        <w:trPr>
          <w:gridAfter w:val="1"/>
          <w:wAfter w:w="12" w:type="dxa"/>
        </w:trPr>
        <w:tc>
          <w:tcPr>
            <w:tcW w:w="553" w:type="dxa"/>
          </w:tcPr>
          <w:p w14:paraId="2C63E6B3" w14:textId="32C83895" w:rsidR="008A23C1" w:rsidRPr="008A23C1" w:rsidRDefault="008F2009"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26.</w:t>
            </w:r>
          </w:p>
        </w:tc>
        <w:tc>
          <w:tcPr>
            <w:tcW w:w="3818" w:type="dxa"/>
          </w:tcPr>
          <w:p w14:paraId="12999137" w14:textId="5A3E2B3E" w:rsidR="00AD28F4" w:rsidRPr="00AD28F4" w:rsidRDefault="00AD28F4" w:rsidP="00AD28F4">
            <w:pPr>
              <w:spacing w:line="240" w:lineRule="auto"/>
              <w:rPr>
                <w:color w:val="2F5496" w:themeColor="accent1" w:themeShade="BF"/>
              </w:rPr>
            </w:pPr>
            <w:r w:rsidRPr="00AD28F4">
              <w:rPr>
                <w:color w:val="2F5496" w:themeColor="accent1" w:themeShade="BF"/>
              </w:rPr>
              <w:t>TUPE / transfer of undertakings</w:t>
            </w:r>
            <w:r>
              <w:rPr>
                <w:color w:val="2F5496" w:themeColor="accent1" w:themeShade="BF"/>
              </w:rPr>
              <w:t xml:space="preserve">- </w:t>
            </w:r>
            <w:r w:rsidRPr="00AD28F4">
              <w:rPr>
                <w:color w:val="2F5496" w:themeColor="accent1" w:themeShade="BF"/>
              </w:rPr>
              <w:t>The sample call-off contract includes TUPE-related obligations. Please confirm whether the Contracting Authority expects TUPE or equivalent transfer-of-undertakings obligations to apply to the transition of Lot 1 services.</w:t>
            </w:r>
          </w:p>
          <w:p w14:paraId="2864B097" w14:textId="77777777" w:rsidR="00AD28F4" w:rsidRPr="00AD28F4" w:rsidRDefault="00AD28F4" w:rsidP="00AD28F4">
            <w:pPr>
              <w:spacing w:line="240" w:lineRule="auto"/>
              <w:rPr>
                <w:color w:val="2F5496" w:themeColor="accent1" w:themeShade="BF"/>
              </w:rPr>
            </w:pPr>
          </w:p>
          <w:p w14:paraId="0F961DF3" w14:textId="39D760E1" w:rsidR="008A23C1" w:rsidRPr="007F4174" w:rsidRDefault="00AD28F4" w:rsidP="00AD28F4">
            <w:pPr>
              <w:spacing w:line="240" w:lineRule="auto"/>
              <w:rPr>
                <w:color w:val="2F5496" w:themeColor="accent1" w:themeShade="BF"/>
              </w:rPr>
            </w:pPr>
            <w:r w:rsidRPr="00AD28F4">
              <w:rPr>
                <w:color w:val="2F5496" w:themeColor="accent1" w:themeShade="BF"/>
              </w:rPr>
              <w:t xml:space="preserve">If TUPE is considered applicable, please confirm whether anonymised employee liability information or equivalent employment information will be made available to tenderers prior to </w:t>
            </w:r>
            <w:r w:rsidRPr="00AD28F4">
              <w:rPr>
                <w:color w:val="2F5496" w:themeColor="accent1" w:themeShade="BF"/>
              </w:rPr>
              <w:lastRenderedPageBreak/>
              <w:t>submission or prior to contract commencement.</w:t>
            </w:r>
          </w:p>
        </w:tc>
        <w:tc>
          <w:tcPr>
            <w:tcW w:w="4490" w:type="dxa"/>
            <w:gridSpan w:val="2"/>
          </w:tcPr>
          <w:p w14:paraId="0D079A3E" w14:textId="4438DF7D" w:rsidR="008A23C1" w:rsidRPr="009F0E48" w:rsidRDefault="00AD28F4" w:rsidP="009F0E48">
            <w:pPr>
              <w:spacing w:line="240" w:lineRule="auto"/>
              <w:jc w:val="both"/>
              <w:rPr>
                <w:b/>
                <w:bCs/>
                <w:color w:val="2F5496" w:themeColor="accent1" w:themeShade="BF"/>
              </w:rPr>
            </w:pPr>
            <w:r w:rsidRPr="00AD28F4">
              <w:rPr>
                <w:b/>
                <w:bCs/>
                <w:color w:val="2F5496" w:themeColor="accent1" w:themeShade="BF"/>
              </w:rPr>
              <w:lastRenderedPageBreak/>
              <w:t>We're not aware of any TUPE-related issues. The provisions are standard in OGP contracts.</w:t>
            </w:r>
          </w:p>
        </w:tc>
      </w:tr>
      <w:tr w:rsidR="008A23C1" w:rsidRPr="007F4174" w14:paraId="1F79F0C0" w14:textId="77777777" w:rsidTr="07BFE459">
        <w:trPr>
          <w:gridAfter w:val="1"/>
          <w:wAfter w:w="12" w:type="dxa"/>
        </w:trPr>
        <w:tc>
          <w:tcPr>
            <w:tcW w:w="553" w:type="dxa"/>
          </w:tcPr>
          <w:p w14:paraId="05EF1FF6" w14:textId="1E513027" w:rsidR="008A23C1" w:rsidRPr="008A23C1" w:rsidRDefault="00AD28F4"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27.</w:t>
            </w:r>
          </w:p>
        </w:tc>
        <w:tc>
          <w:tcPr>
            <w:tcW w:w="3818" w:type="dxa"/>
          </w:tcPr>
          <w:p w14:paraId="3AD6A5F0" w14:textId="1BA2FD90" w:rsidR="00585BC5" w:rsidRPr="00585BC5" w:rsidRDefault="00585BC5" w:rsidP="00585BC5">
            <w:pPr>
              <w:spacing w:line="240" w:lineRule="auto"/>
              <w:rPr>
                <w:color w:val="2F5496" w:themeColor="accent1" w:themeShade="BF"/>
              </w:rPr>
            </w:pPr>
            <w:r w:rsidRPr="00585BC5">
              <w:rPr>
                <w:color w:val="2F5496" w:themeColor="accent1" w:themeShade="BF"/>
              </w:rPr>
              <w:t>Existing source code and repository access</w:t>
            </w:r>
            <w:r>
              <w:rPr>
                <w:color w:val="2F5496" w:themeColor="accent1" w:themeShade="BF"/>
              </w:rPr>
              <w:t xml:space="preserve">- </w:t>
            </w:r>
            <w:r w:rsidRPr="00585BC5">
              <w:rPr>
                <w:color w:val="2F5496" w:themeColor="accent1" w:themeShade="BF"/>
              </w:rPr>
              <w:t>The RFT requires code builds, updates and releases developed under the contract to be transferred to and maintained within an LGMA-owned code repository.</w:t>
            </w:r>
          </w:p>
          <w:p w14:paraId="57A8B763" w14:textId="77777777" w:rsidR="00585BC5" w:rsidRPr="00585BC5" w:rsidRDefault="00585BC5" w:rsidP="00585BC5">
            <w:pPr>
              <w:spacing w:line="240" w:lineRule="auto"/>
              <w:rPr>
                <w:color w:val="2F5496" w:themeColor="accent1" w:themeShade="BF"/>
              </w:rPr>
            </w:pPr>
          </w:p>
          <w:p w14:paraId="7E902A93" w14:textId="77777777" w:rsidR="00585BC5" w:rsidRPr="00585BC5" w:rsidRDefault="00585BC5" w:rsidP="00585BC5">
            <w:pPr>
              <w:spacing w:line="240" w:lineRule="auto"/>
              <w:rPr>
                <w:color w:val="2F5496" w:themeColor="accent1" w:themeShade="BF"/>
              </w:rPr>
            </w:pPr>
            <w:r w:rsidRPr="00585BC5">
              <w:rPr>
                <w:color w:val="2F5496" w:themeColor="accent1" w:themeShade="BF"/>
              </w:rPr>
              <w:t>Please confirm whether the successful Lot 1 tenderer will be provided with access to existing source-code repositories, build pipelines, deployment scripts, release documentation and related technical artefacts at contract commencement.</w:t>
            </w:r>
          </w:p>
          <w:p w14:paraId="7BBE52E4" w14:textId="77777777" w:rsidR="00585BC5" w:rsidRPr="00585BC5" w:rsidRDefault="00585BC5" w:rsidP="00585BC5">
            <w:pPr>
              <w:spacing w:line="240" w:lineRule="auto"/>
              <w:rPr>
                <w:color w:val="2F5496" w:themeColor="accent1" w:themeShade="BF"/>
              </w:rPr>
            </w:pPr>
          </w:p>
          <w:p w14:paraId="41A9D198" w14:textId="4F7F0105" w:rsidR="008A23C1" w:rsidRPr="007F4174" w:rsidRDefault="00585BC5" w:rsidP="00585BC5">
            <w:pPr>
              <w:spacing w:line="240" w:lineRule="auto"/>
              <w:rPr>
                <w:color w:val="2F5496" w:themeColor="accent1" w:themeShade="BF"/>
              </w:rPr>
            </w:pPr>
            <w:r w:rsidRPr="00585BC5">
              <w:rPr>
                <w:color w:val="2F5496" w:themeColor="accent1" w:themeShade="BF"/>
              </w:rPr>
              <w:t>Please also confirm whether current code repositories and build/release artefacts are complete and up to date for all Lot 1 systems.</w:t>
            </w:r>
          </w:p>
        </w:tc>
        <w:tc>
          <w:tcPr>
            <w:tcW w:w="4490" w:type="dxa"/>
            <w:gridSpan w:val="2"/>
          </w:tcPr>
          <w:p w14:paraId="2ADA9B06" w14:textId="08BCA113" w:rsidR="008A23C1" w:rsidRPr="009F0E48" w:rsidRDefault="00585BC5" w:rsidP="00585BC5">
            <w:pPr>
              <w:spacing w:line="240" w:lineRule="auto"/>
              <w:jc w:val="both"/>
              <w:rPr>
                <w:b/>
                <w:bCs/>
                <w:color w:val="2F5496" w:themeColor="accent1" w:themeShade="BF"/>
              </w:rPr>
            </w:pPr>
            <w:r w:rsidRPr="00585BC5">
              <w:rPr>
                <w:b/>
                <w:bCs/>
                <w:color w:val="2F5496" w:themeColor="accent1" w:themeShade="BF"/>
              </w:rPr>
              <w:t>Yes,</w:t>
            </w:r>
            <w:r w:rsidRPr="00585BC5">
              <w:rPr>
                <w:b/>
                <w:bCs/>
                <w:color w:val="2F5496" w:themeColor="accent1" w:themeShade="BF"/>
              </w:rPr>
              <w:t xml:space="preserve"> tenders will be given access to existing code builds.  </w:t>
            </w:r>
            <w:r w:rsidRPr="00585BC5">
              <w:rPr>
                <w:b/>
                <w:bCs/>
                <w:color w:val="2F5496" w:themeColor="accent1" w:themeShade="BF"/>
              </w:rPr>
              <w:t>Yes,</w:t>
            </w:r>
            <w:r w:rsidRPr="00585BC5">
              <w:rPr>
                <w:b/>
                <w:bCs/>
                <w:color w:val="2F5496" w:themeColor="accent1" w:themeShade="BF"/>
              </w:rPr>
              <w:t xml:space="preserve"> code repositories will be up to date.</w:t>
            </w:r>
          </w:p>
        </w:tc>
      </w:tr>
      <w:tr w:rsidR="00AD28F4" w:rsidRPr="007F4174" w14:paraId="25051983" w14:textId="77777777" w:rsidTr="07BFE459">
        <w:trPr>
          <w:gridAfter w:val="1"/>
          <w:wAfter w:w="12" w:type="dxa"/>
        </w:trPr>
        <w:tc>
          <w:tcPr>
            <w:tcW w:w="553" w:type="dxa"/>
          </w:tcPr>
          <w:p w14:paraId="01D7359C" w14:textId="57609743" w:rsidR="00AD28F4" w:rsidRPr="008A23C1" w:rsidRDefault="00585BC5"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28.</w:t>
            </w:r>
          </w:p>
        </w:tc>
        <w:tc>
          <w:tcPr>
            <w:tcW w:w="3818" w:type="dxa"/>
          </w:tcPr>
          <w:p w14:paraId="188F335C" w14:textId="6F356929" w:rsidR="005C4C5D" w:rsidRPr="005C4C5D" w:rsidRDefault="005C4C5D" w:rsidP="005C4C5D">
            <w:pPr>
              <w:spacing w:line="240" w:lineRule="auto"/>
              <w:rPr>
                <w:color w:val="2F5496" w:themeColor="accent1" w:themeShade="BF"/>
              </w:rPr>
            </w:pPr>
            <w:r w:rsidRPr="005C4C5D">
              <w:rPr>
                <w:color w:val="2F5496" w:themeColor="accent1" w:themeShade="BF"/>
              </w:rPr>
              <w:t>Pre-existing IP and supplier reusable components</w:t>
            </w:r>
            <w:r>
              <w:rPr>
                <w:color w:val="2F5496" w:themeColor="accent1" w:themeShade="BF"/>
              </w:rPr>
              <w:t xml:space="preserve">- </w:t>
            </w:r>
            <w:r w:rsidRPr="005C4C5D">
              <w:rPr>
                <w:color w:val="2F5496" w:themeColor="accent1" w:themeShade="BF"/>
              </w:rPr>
              <w:t>The RFT and contract documents include provisions relating to intellectual property ownership of deliverables developed under the contract.</w:t>
            </w:r>
          </w:p>
          <w:p w14:paraId="48B2004D" w14:textId="77777777" w:rsidR="005C4C5D" w:rsidRPr="005C4C5D" w:rsidRDefault="005C4C5D" w:rsidP="005C4C5D">
            <w:pPr>
              <w:spacing w:line="240" w:lineRule="auto"/>
              <w:rPr>
                <w:color w:val="2F5496" w:themeColor="accent1" w:themeShade="BF"/>
              </w:rPr>
            </w:pPr>
          </w:p>
          <w:p w14:paraId="383055F9" w14:textId="6FC2666E" w:rsidR="00AD28F4" w:rsidRPr="007F4174" w:rsidRDefault="005C4C5D" w:rsidP="005C4C5D">
            <w:pPr>
              <w:spacing w:line="240" w:lineRule="auto"/>
              <w:rPr>
                <w:color w:val="2F5496" w:themeColor="accent1" w:themeShade="BF"/>
              </w:rPr>
            </w:pPr>
            <w:r w:rsidRPr="005C4C5D">
              <w:rPr>
                <w:color w:val="2F5496" w:themeColor="accent1" w:themeShade="BF"/>
              </w:rPr>
              <w:t>Please confirm whether tenderers may use pre-existing tools, frameworks, accelerators, reusable components, methodologies and know-how in delivering the Lot 1 services, provided these are clearly distinguished from contract-specific deliverables and the Contracting Authority receives the rights necessary to use the deliverables for its business purposes.</w:t>
            </w:r>
          </w:p>
        </w:tc>
        <w:tc>
          <w:tcPr>
            <w:tcW w:w="4490" w:type="dxa"/>
            <w:gridSpan w:val="2"/>
          </w:tcPr>
          <w:p w14:paraId="33F05DC8" w14:textId="77777777" w:rsidR="005C4C5D" w:rsidRDefault="005C4C5D" w:rsidP="005C4C5D">
            <w:pPr>
              <w:spacing w:line="240" w:lineRule="auto"/>
              <w:jc w:val="center"/>
              <w:rPr>
                <w:b/>
                <w:bCs/>
                <w:color w:val="2F5496" w:themeColor="accent1" w:themeShade="BF"/>
              </w:rPr>
            </w:pPr>
          </w:p>
          <w:p w14:paraId="730896A5" w14:textId="77777777" w:rsidR="005C4C5D" w:rsidRDefault="005C4C5D" w:rsidP="005C4C5D">
            <w:pPr>
              <w:spacing w:line="240" w:lineRule="auto"/>
              <w:jc w:val="center"/>
              <w:rPr>
                <w:b/>
                <w:bCs/>
                <w:color w:val="2F5496" w:themeColor="accent1" w:themeShade="BF"/>
              </w:rPr>
            </w:pPr>
          </w:p>
          <w:p w14:paraId="20E4F789" w14:textId="77777777" w:rsidR="005C4C5D" w:rsidRDefault="005C4C5D" w:rsidP="005C4C5D">
            <w:pPr>
              <w:spacing w:line="240" w:lineRule="auto"/>
              <w:jc w:val="center"/>
              <w:rPr>
                <w:b/>
                <w:bCs/>
                <w:color w:val="2F5496" w:themeColor="accent1" w:themeShade="BF"/>
              </w:rPr>
            </w:pPr>
          </w:p>
          <w:p w14:paraId="10C00A60" w14:textId="77777777" w:rsidR="005C4C5D" w:rsidRDefault="005C4C5D" w:rsidP="005C4C5D">
            <w:pPr>
              <w:spacing w:line="240" w:lineRule="auto"/>
              <w:jc w:val="center"/>
              <w:rPr>
                <w:b/>
                <w:bCs/>
                <w:color w:val="2F5496" w:themeColor="accent1" w:themeShade="BF"/>
              </w:rPr>
            </w:pPr>
          </w:p>
          <w:p w14:paraId="5D3F87CA" w14:textId="77777777" w:rsidR="005C4C5D" w:rsidRDefault="005C4C5D" w:rsidP="005C4C5D">
            <w:pPr>
              <w:spacing w:line="240" w:lineRule="auto"/>
              <w:jc w:val="center"/>
              <w:rPr>
                <w:b/>
                <w:bCs/>
                <w:color w:val="2F5496" w:themeColor="accent1" w:themeShade="BF"/>
              </w:rPr>
            </w:pPr>
          </w:p>
          <w:p w14:paraId="37DFB321" w14:textId="77777777" w:rsidR="005C4C5D" w:rsidRDefault="005C4C5D" w:rsidP="005C4C5D">
            <w:pPr>
              <w:spacing w:line="240" w:lineRule="auto"/>
              <w:jc w:val="center"/>
              <w:rPr>
                <w:b/>
                <w:bCs/>
                <w:color w:val="2F5496" w:themeColor="accent1" w:themeShade="BF"/>
              </w:rPr>
            </w:pPr>
          </w:p>
          <w:p w14:paraId="315F030F" w14:textId="694930BD" w:rsidR="00AD28F4" w:rsidRPr="009F0E48" w:rsidRDefault="005C4C5D" w:rsidP="005C4C5D">
            <w:pPr>
              <w:spacing w:line="240" w:lineRule="auto"/>
              <w:jc w:val="center"/>
              <w:rPr>
                <w:b/>
                <w:bCs/>
                <w:color w:val="2F5496" w:themeColor="accent1" w:themeShade="BF"/>
              </w:rPr>
            </w:pPr>
            <w:r>
              <w:rPr>
                <w:b/>
                <w:bCs/>
                <w:color w:val="2F5496" w:themeColor="accent1" w:themeShade="BF"/>
              </w:rPr>
              <w:t>Yes</w:t>
            </w:r>
          </w:p>
        </w:tc>
      </w:tr>
      <w:tr w:rsidR="00AD28F4" w:rsidRPr="007F4174" w14:paraId="47ED0ABE" w14:textId="77777777" w:rsidTr="07BFE459">
        <w:trPr>
          <w:gridAfter w:val="1"/>
          <w:wAfter w:w="12" w:type="dxa"/>
        </w:trPr>
        <w:tc>
          <w:tcPr>
            <w:tcW w:w="553" w:type="dxa"/>
          </w:tcPr>
          <w:p w14:paraId="2F3EC0F0" w14:textId="458889A7" w:rsidR="00AD28F4" w:rsidRPr="008A23C1" w:rsidRDefault="00333687"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29.</w:t>
            </w:r>
          </w:p>
        </w:tc>
        <w:tc>
          <w:tcPr>
            <w:tcW w:w="3818" w:type="dxa"/>
          </w:tcPr>
          <w:p w14:paraId="4DC1B9ED" w14:textId="7230D16E" w:rsidR="00333687" w:rsidRPr="00333687" w:rsidRDefault="00333687" w:rsidP="00333687">
            <w:pPr>
              <w:spacing w:line="240" w:lineRule="auto"/>
              <w:rPr>
                <w:color w:val="2F5496" w:themeColor="accent1" w:themeShade="BF"/>
              </w:rPr>
            </w:pPr>
            <w:r w:rsidRPr="00333687">
              <w:rPr>
                <w:color w:val="2F5496" w:themeColor="accent1" w:themeShade="BF"/>
              </w:rPr>
              <w:t>Historical support and change request volumes</w:t>
            </w:r>
            <w:r>
              <w:rPr>
                <w:color w:val="2F5496" w:themeColor="accent1" w:themeShade="BF"/>
              </w:rPr>
              <w:t xml:space="preserve">- </w:t>
            </w:r>
            <w:r w:rsidRPr="00333687">
              <w:rPr>
                <w:color w:val="2F5496" w:themeColor="accent1" w:themeShade="BF"/>
              </w:rPr>
              <w:t>To support realistic sizing of the Lot 1 delivery model and blended daily rate, please confirm whether LGMA can provide historical information for the Lot 1 systems, including approximate annual volumes of support tickets, incidents, service requests, change requests, releases, emergency fixes and planned enhancement work.</w:t>
            </w:r>
          </w:p>
          <w:p w14:paraId="1C06A7B2" w14:textId="77777777" w:rsidR="00333687" w:rsidRPr="00333687" w:rsidRDefault="00333687" w:rsidP="00333687">
            <w:pPr>
              <w:spacing w:line="240" w:lineRule="auto"/>
              <w:rPr>
                <w:color w:val="2F5496" w:themeColor="accent1" w:themeShade="BF"/>
              </w:rPr>
            </w:pPr>
          </w:p>
          <w:p w14:paraId="157C8E08" w14:textId="465C0F09" w:rsidR="00AD28F4" w:rsidRPr="007F4174" w:rsidRDefault="00333687" w:rsidP="00333687">
            <w:pPr>
              <w:spacing w:line="240" w:lineRule="auto"/>
              <w:rPr>
                <w:color w:val="2F5496" w:themeColor="accent1" w:themeShade="BF"/>
              </w:rPr>
            </w:pPr>
            <w:r w:rsidRPr="00333687">
              <w:rPr>
                <w:color w:val="2F5496" w:themeColor="accent1" w:themeShade="BF"/>
              </w:rPr>
              <w:t>If such figures are not available, please confirm whether tenderers should rely solely on the indicative person-day estimates and system descriptions provided in the RFT.</w:t>
            </w:r>
          </w:p>
        </w:tc>
        <w:tc>
          <w:tcPr>
            <w:tcW w:w="4490" w:type="dxa"/>
            <w:gridSpan w:val="2"/>
          </w:tcPr>
          <w:p w14:paraId="66619063" w14:textId="40DD457A" w:rsidR="00AD28F4" w:rsidRPr="009F0E48" w:rsidRDefault="00333687" w:rsidP="009F0E48">
            <w:pPr>
              <w:spacing w:line="240" w:lineRule="auto"/>
              <w:jc w:val="both"/>
              <w:rPr>
                <w:b/>
                <w:bCs/>
                <w:color w:val="2F5496" w:themeColor="accent1" w:themeShade="BF"/>
              </w:rPr>
            </w:pPr>
            <w:r w:rsidRPr="00333687">
              <w:rPr>
                <w:b/>
                <w:bCs/>
                <w:color w:val="2F5496" w:themeColor="accent1" w:themeShade="BF"/>
              </w:rPr>
              <w:lastRenderedPageBreak/>
              <w:t>Yes</w:t>
            </w:r>
            <w:r>
              <w:rPr>
                <w:b/>
                <w:bCs/>
                <w:color w:val="2F5496" w:themeColor="accent1" w:themeShade="BF"/>
              </w:rPr>
              <w:t>,</w:t>
            </w:r>
            <w:r w:rsidRPr="00333687">
              <w:rPr>
                <w:b/>
                <w:bCs/>
                <w:color w:val="2F5496" w:themeColor="accent1" w:themeShade="BF"/>
              </w:rPr>
              <w:t xml:space="preserve"> tenders should rely on the indicative per day estimates and system details provided.</w:t>
            </w:r>
          </w:p>
        </w:tc>
      </w:tr>
      <w:tr w:rsidR="00AD28F4" w:rsidRPr="007F4174" w14:paraId="1DE33173" w14:textId="77777777" w:rsidTr="07BFE459">
        <w:trPr>
          <w:gridAfter w:val="1"/>
          <w:wAfter w:w="12" w:type="dxa"/>
        </w:trPr>
        <w:tc>
          <w:tcPr>
            <w:tcW w:w="553" w:type="dxa"/>
          </w:tcPr>
          <w:p w14:paraId="2C3ABBA0" w14:textId="35000425" w:rsidR="00AD28F4" w:rsidRPr="008A23C1" w:rsidRDefault="0040228E"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30.</w:t>
            </w:r>
          </w:p>
        </w:tc>
        <w:tc>
          <w:tcPr>
            <w:tcW w:w="3818" w:type="dxa"/>
          </w:tcPr>
          <w:p w14:paraId="4F3A4D8F" w14:textId="26F974C5" w:rsidR="0040228E" w:rsidRPr="0040228E" w:rsidRDefault="0040228E" w:rsidP="0040228E">
            <w:pPr>
              <w:spacing w:line="240" w:lineRule="auto"/>
              <w:rPr>
                <w:color w:val="2F5496" w:themeColor="accent1" w:themeShade="BF"/>
              </w:rPr>
            </w:pPr>
            <w:r w:rsidRPr="0040228E">
              <w:rPr>
                <w:color w:val="2F5496" w:themeColor="accent1" w:themeShade="BF"/>
              </w:rPr>
              <w:t>SLA and KPI details</w:t>
            </w:r>
            <w:r>
              <w:rPr>
                <w:color w:val="2F5496" w:themeColor="accent1" w:themeShade="BF"/>
              </w:rPr>
              <w:t>-</w:t>
            </w:r>
            <w:r w:rsidRPr="0040228E">
              <w:rPr>
                <w:color w:val="2F5496" w:themeColor="accent1" w:themeShade="BF"/>
              </w:rPr>
              <w:t>The RFT and contract templates refer to service levels, KPIs, reporting and performance review. Please confirm whether specific Lot 1 SLA/KPI targets are defined in the tender documents.</w:t>
            </w:r>
          </w:p>
          <w:p w14:paraId="0ABE4331" w14:textId="77777777" w:rsidR="0040228E" w:rsidRPr="0040228E" w:rsidRDefault="0040228E" w:rsidP="0040228E">
            <w:pPr>
              <w:spacing w:line="240" w:lineRule="auto"/>
              <w:rPr>
                <w:color w:val="2F5496" w:themeColor="accent1" w:themeShade="BF"/>
              </w:rPr>
            </w:pPr>
          </w:p>
          <w:p w14:paraId="643CA0F2" w14:textId="402452EB" w:rsidR="00AD28F4" w:rsidRPr="007F4174" w:rsidRDefault="0040228E" w:rsidP="0040228E">
            <w:pPr>
              <w:spacing w:line="240" w:lineRule="auto"/>
              <w:rPr>
                <w:color w:val="2F5496" w:themeColor="accent1" w:themeShade="BF"/>
              </w:rPr>
            </w:pPr>
            <w:r w:rsidRPr="0040228E">
              <w:rPr>
                <w:color w:val="2F5496" w:themeColor="accent1" w:themeShade="BF"/>
              </w:rPr>
              <w:t>If not, please confirm whether the successful tenderer will agree SLAs/KPIs with LGMA during mobilisation or at call-off stage.</w:t>
            </w:r>
          </w:p>
        </w:tc>
        <w:tc>
          <w:tcPr>
            <w:tcW w:w="4490" w:type="dxa"/>
            <w:gridSpan w:val="2"/>
          </w:tcPr>
          <w:p w14:paraId="04F74A1F" w14:textId="1C5B9C3A" w:rsidR="00AD28F4" w:rsidRPr="009F0E48" w:rsidRDefault="001E182F" w:rsidP="009F0E48">
            <w:pPr>
              <w:spacing w:line="240" w:lineRule="auto"/>
              <w:jc w:val="both"/>
              <w:rPr>
                <w:b/>
                <w:bCs/>
                <w:color w:val="2F5496" w:themeColor="accent1" w:themeShade="BF"/>
              </w:rPr>
            </w:pPr>
            <w:r w:rsidRPr="001E182F">
              <w:rPr>
                <w:b/>
                <w:bCs/>
                <w:color w:val="2F5496" w:themeColor="accent1" w:themeShade="BF"/>
              </w:rPr>
              <w:t>Yes</w:t>
            </w:r>
            <w:r>
              <w:rPr>
                <w:b/>
                <w:bCs/>
                <w:color w:val="2F5496" w:themeColor="accent1" w:themeShade="BF"/>
              </w:rPr>
              <w:t>,</w:t>
            </w:r>
            <w:r w:rsidRPr="001E182F">
              <w:rPr>
                <w:b/>
                <w:bCs/>
                <w:color w:val="2F5496" w:themeColor="accent1" w:themeShade="BF"/>
              </w:rPr>
              <w:t xml:space="preserve"> LGMA will agree SLAs etc with successful tenderer.</w:t>
            </w:r>
          </w:p>
        </w:tc>
      </w:tr>
      <w:tr w:rsidR="0040228E" w:rsidRPr="007F4174" w14:paraId="691EEBC1" w14:textId="77777777" w:rsidTr="07BFE459">
        <w:trPr>
          <w:gridAfter w:val="1"/>
          <w:wAfter w:w="12" w:type="dxa"/>
        </w:trPr>
        <w:tc>
          <w:tcPr>
            <w:tcW w:w="553" w:type="dxa"/>
          </w:tcPr>
          <w:p w14:paraId="3328CB24" w14:textId="2D6EB5E6" w:rsidR="0040228E" w:rsidRPr="008A23C1" w:rsidRDefault="001E182F"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31.</w:t>
            </w:r>
          </w:p>
        </w:tc>
        <w:tc>
          <w:tcPr>
            <w:tcW w:w="3818" w:type="dxa"/>
          </w:tcPr>
          <w:p w14:paraId="09A444E1" w14:textId="27479809" w:rsidR="001E182F" w:rsidRPr="001E182F" w:rsidRDefault="001E182F" w:rsidP="001E182F">
            <w:pPr>
              <w:spacing w:line="240" w:lineRule="auto"/>
              <w:rPr>
                <w:color w:val="2F5496" w:themeColor="accent1" w:themeShade="BF"/>
              </w:rPr>
            </w:pPr>
            <w:r w:rsidRPr="001E182F">
              <w:rPr>
                <w:color w:val="2F5496" w:themeColor="accent1" w:themeShade="BF"/>
              </w:rPr>
              <w:t>Cooperation between Lot 1 and Lot 2 suppliers</w:t>
            </w:r>
            <w:r>
              <w:rPr>
                <w:color w:val="2F5496" w:themeColor="accent1" w:themeShade="BF"/>
              </w:rPr>
              <w:t xml:space="preserve">- </w:t>
            </w:r>
            <w:r w:rsidRPr="001E182F">
              <w:rPr>
                <w:color w:val="2F5496" w:themeColor="accent1" w:themeShade="BF"/>
              </w:rPr>
              <w:t>The RFT indicates that, if different tenderers are appointed for different lots, cooperation and coordination may be required.</w:t>
            </w:r>
          </w:p>
          <w:p w14:paraId="7DF32A73" w14:textId="77777777" w:rsidR="001E182F" w:rsidRPr="001E182F" w:rsidRDefault="001E182F" w:rsidP="001E182F">
            <w:pPr>
              <w:spacing w:line="240" w:lineRule="auto"/>
              <w:rPr>
                <w:color w:val="2F5496" w:themeColor="accent1" w:themeShade="BF"/>
              </w:rPr>
            </w:pPr>
          </w:p>
          <w:p w14:paraId="74B07F40" w14:textId="77777777" w:rsidR="001E182F" w:rsidRPr="001E182F" w:rsidRDefault="001E182F" w:rsidP="001E182F">
            <w:pPr>
              <w:spacing w:line="240" w:lineRule="auto"/>
              <w:rPr>
                <w:color w:val="2F5496" w:themeColor="accent1" w:themeShade="BF"/>
              </w:rPr>
            </w:pPr>
            <w:r w:rsidRPr="001E182F">
              <w:rPr>
                <w:color w:val="2F5496" w:themeColor="accent1" w:themeShade="BF"/>
              </w:rPr>
              <w:t>Please clarify the expected responsibilities of the Lot 1 supplier in relation to cooperation with the Lot 2 supplier, including governance forums, interface coordination, data exchange, release planning, issue resolution and architecture alignment.</w:t>
            </w:r>
          </w:p>
          <w:p w14:paraId="320EB5A8" w14:textId="77777777" w:rsidR="001E182F" w:rsidRPr="001E182F" w:rsidRDefault="001E182F" w:rsidP="001E182F">
            <w:pPr>
              <w:spacing w:line="240" w:lineRule="auto"/>
              <w:rPr>
                <w:color w:val="2F5496" w:themeColor="accent1" w:themeShade="BF"/>
              </w:rPr>
            </w:pPr>
          </w:p>
          <w:p w14:paraId="3F05F154" w14:textId="795BCE29" w:rsidR="0040228E" w:rsidRPr="007F4174" w:rsidRDefault="001E182F" w:rsidP="001E182F">
            <w:pPr>
              <w:spacing w:line="240" w:lineRule="auto"/>
              <w:rPr>
                <w:color w:val="2F5496" w:themeColor="accent1" w:themeShade="BF"/>
              </w:rPr>
            </w:pPr>
            <w:r w:rsidRPr="001E182F">
              <w:rPr>
                <w:color w:val="2F5496" w:themeColor="accent1" w:themeShade="BF"/>
              </w:rPr>
              <w:t>Please also confirm whether any specific interfaces or dependencies between Lot 1 and Lot 2 systems should be considered in the Lot 1 tender response.</w:t>
            </w:r>
          </w:p>
        </w:tc>
        <w:tc>
          <w:tcPr>
            <w:tcW w:w="4490" w:type="dxa"/>
            <w:gridSpan w:val="2"/>
          </w:tcPr>
          <w:p w14:paraId="620807C5" w14:textId="03A4DD2C" w:rsidR="0040228E" w:rsidRPr="009F0E48" w:rsidRDefault="001E182F" w:rsidP="009F0E48">
            <w:pPr>
              <w:spacing w:line="240" w:lineRule="auto"/>
              <w:jc w:val="both"/>
              <w:rPr>
                <w:b/>
                <w:bCs/>
                <w:color w:val="2F5496" w:themeColor="accent1" w:themeShade="BF"/>
              </w:rPr>
            </w:pPr>
            <w:r w:rsidRPr="001E182F">
              <w:rPr>
                <w:b/>
                <w:bCs/>
                <w:color w:val="2F5496" w:themeColor="accent1" w:themeShade="BF"/>
              </w:rPr>
              <w:t>All of these aspects can be addressed post award.</w:t>
            </w:r>
          </w:p>
        </w:tc>
      </w:tr>
      <w:tr w:rsidR="0040228E" w:rsidRPr="007F4174" w14:paraId="26E9A88E" w14:textId="77777777" w:rsidTr="07BFE459">
        <w:trPr>
          <w:gridAfter w:val="1"/>
          <w:wAfter w:w="12" w:type="dxa"/>
        </w:trPr>
        <w:tc>
          <w:tcPr>
            <w:tcW w:w="553" w:type="dxa"/>
          </w:tcPr>
          <w:p w14:paraId="1B30AA40" w14:textId="207620F2" w:rsidR="0040228E" w:rsidRPr="008A23C1" w:rsidRDefault="001E182F"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32.</w:t>
            </w:r>
          </w:p>
        </w:tc>
        <w:tc>
          <w:tcPr>
            <w:tcW w:w="3818" w:type="dxa"/>
          </w:tcPr>
          <w:p w14:paraId="36BC8E97" w14:textId="244CF3CF" w:rsidR="00C96E0A" w:rsidRPr="00C96E0A" w:rsidRDefault="00C96E0A" w:rsidP="00C96E0A">
            <w:pPr>
              <w:spacing w:line="240" w:lineRule="auto"/>
              <w:rPr>
                <w:color w:val="2F5496" w:themeColor="accent1" w:themeShade="BF"/>
              </w:rPr>
            </w:pPr>
            <w:r w:rsidRPr="00C96E0A">
              <w:rPr>
                <w:color w:val="2F5496" w:themeColor="accent1" w:themeShade="BF"/>
              </w:rPr>
              <w:t>Blended daily rate and role mix</w:t>
            </w:r>
            <w:r>
              <w:rPr>
                <w:color w:val="2F5496" w:themeColor="accent1" w:themeShade="BF"/>
              </w:rPr>
              <w:t>-</w:t>
            </w:r>
          </w:p>
          <w:p w14:paraId="7AB717CF" w14:textId="77777777" w:rsidR="00C96E0A" w:rsidRPr="00C96E0A" w:rsidRDefault="00C96E0A" w:rsidP="00C96E0A">
            <w:pPr>
              <w:spacing w:line="240" w:lineRule="auto"/>
              <w:rPr>
                <w:color w:val="2F5496" w:themeColor="accent1" w:themeShade="BF"/>
              </w:rPr>
            </w:pPr>
            <w:r w:rsidRPr="00C96E0A">
              <w:rPr>
                <w:color w:val="2F5496" w:themeColor="accent1" w:themeShade="BF"/>
              </w:rPr>
              <w:t>The Lot 1 TRD requests a proposed blended daily rate rather than role-specific rates.</w:t>
            </w:r>
          </w:p>
          <w:p w14:paraId="5D19620C" w14:textId="77777777" w:rsidR="00C96E0A" w:rsidRPr="00C96E0A" w:rsidRDefault="00C96E0A" w:rsidP="00C96E0A">
            <w:pPr>
              <w:spacing w:line="240" w:lineRule="auto"/>
              <w:rPr>
                <w:color w:val="2F5496" w:themeColor="accent1" w:themeShade="BF"/>
              </w:rPr>
            </w:pPr>
          </w:p>
          <w:p w14:paraId="31D35E52" w14:textId="77777777" w:rsidR="00C96E0A" w:rsidRPr="00C96E0A" w:rsidRDefault="00C96E0A" w:rsidP="00C96E0A">
            <w:pPr>
              <w:spacing w:line="240" w:lineRule="auto"/>
              <w:rPr>
                <w:color w:val="2F5496" w:themeColor="accent1" w:themeShade="BF"/>
              </w:rPr>
            </w:pPr>
            <w:r w:rsidRPr="00C96E0A">
              <w:rPr>
                <w:color w:val="2F5496" w:themeColor="accent1" w:themeShade="BF"/>
              </w:rPr>
              <w:t>Please confirm that the blended daily rate will apply regardless of the role mix required for a particular support request, maintenance activity, change request or call-off engagement.</w:t>
            </w:r>
          </w:p>
          <w:p w14:paraId="14D64237" w14:textId="77777777" w:rsidR="00C96E0A" w:rsidRPr="00C96E0A" w:rsidRDefault="00C96E0A" w:rsidP="00C96E0A">
            <w:pPr>
              <w:spacing w:line="240" w:lineRule="auto"/>
              <w:rPr>
                <w:color w:val="2F5496" w:themeColor="accent1" w:themeShade="BF"/>
              </w:rPr>
            </w:pPr>
          </w:p>
          <w:p w14:paraId="35000B9A" w14:textId="7AB6E3F6" w:rsidR="0040228E" w:rsidRPr="007F4174" w:rsidRDefault="00C96E0A" w:rsidP="00C96E0A">
            <w:pPr>
              <w:spacing w:line="240" w:lineRule="auto"/>
              <w:rPr>
                <w:color w:val="2F5496" w:themeColor="accent1" w:themeShade="BF"/>
              </w:rPr>
            </w:pPr>
            <w:r w:rsidRPr="00C96E0A">
              <w:rPr>
                <w:color w:val="2F5496" w:themeColor="accent1" w:themeShade="BF"/>
              </w:rPr>
              <w:t xml:space="preserve">Please also confirm whether tenderers should provide any supporting </w:t>
            </w:r>
            <w:r w:rsidRPr="00C96E0A">
              <w:rPr>
                <w:color w:val="2F5496" w:themeColor="accent1" w:themeShade="BF"/>
              </w:rPr>
              <w:lastRenderedPageBreak/>
              <w:t>explanation of how the blended rate relates to the proposed role mix, or whether only the blended daily rate should be provided in the pricing section.</w:t>
            </w:r>
          </w:p>
        </w:tc>
        <w:tc>
          <w:tcPr>
            <w:tcW w:w="4490" w:type="dxa"/>
            <w:gridSpan w:val="2"/>
          </w:tcPr>
          <w:p w14:paraId="4E9C944C" w14:textId="0373FE63" w:rsidR="00C96E0A" w:rsidRPr="00C96E0A" w:rsidRDefault="00C96E0A" w:rsidP="00C96E0A">
            <w:pPr>
              <w:spacing w:line="240" w:lineRule="auto"/>
              <w:jc w:val="both"/>
              <w:rPr>
                <w:b/>
                <w:bCs/>
                <w:color w:val="2F5496" w:themeColor="accent1" w:themeShade="BF"/>
              </w:rPr>
            </w:pPr>
            <w:r w:rsidRPr="00C96E0A">
              <w:rPr>
                <w:b/>
                <w:bCs/>
                <w:color w:val="2F5496" w:themeColor="accent1" w:themeShade="BF"/>
              </w:rPr>
              <w:lastRenderedPageBreak/>
              <w:t>Yes, the</w:t>
            </w:r>
            <w:r w:rsidRPr="00C96E0A">
              <w:rPr>
                <w:b/>
                <w:bCs/>
                <w:color w:val="2F5496" w:themeColor="accent1" w:themeShade="BF"/>
              </w:rPr>
              <w:t xml:space="preserve"> blended daily rate will apply regardless of the role mix required for a particular support request, maintenance activity, change request or call-off engagement.</w:t>
            </w:r>
          </w:p>
          <w:p w14:paraId="67F20E8F" w14:textId="77777777" w:rsidR="00C96E0A" w:rsidRPr="00C96E0A" w:rsidRDefault="00C96E0A" w:rsidP="00C96E0A">
            <w:pPr>
              <w:spacing w:line="240" w:lineRule="auto"/>
              <w:jc w:val="both"/>
              <w:rPr>
                <w:b/>
                <w:bCs/>
                <w:color w:val="2F5496" w:themeColor="accent1" w:themeShade="BF"/>
              </w:rPr>
            </w:pPr>
          </w:p>
          <w:p w14:paraId="4C2573D1" w14:textId="77777777" w:rsidR="00C96E0A" w:rsidRPr="00C96E0A" w:rsidRDefault="00C96E0A" w:rsidP="00C96E0A">
            <w:pPr>
              <w:spacing w:line="240" w:lineRule="auto"/>
              <w:jc w:val="both"/>
              <w:rPr>
                <w:b/>
                <w:bCs/>
                <w:color w:val="2F5496" w:themeColor="accent1" w:themeShade="BF"/>
              </w:rPr>
            </w:pPr>
          </w:p>
          <w:p w14:paraId="5DC9EF2E" w14:textId="53D8FA08" w:rsidR="0040228E" w:rsidRPr="009F0E48" w:rsidRDefault="00C96E0A" w:rsidP="00C96E0A">
            <w:pPr>
              <w:spacing w:line="240" w:lineRule="auto"/>
              <w:jc w:val="both"/>
              <w:rPr>
                <w:b/>
                <w:bCs/>
                <w:color w:val="2F5496" w:themeColor="accent1" w:themeShade="BF"/>
              </w:rPr>
            </w:pPr>
            <w:r w:rsidRPr="00C96E0A">
              <w:rPr>
                <w:b/>
                <w:bCs/>
                <w:color w:val="2F5496" w:themeColor="accent1" w:themeShade="BF"/>
              </w:rPr>
              <w:t>No supporting explanation of how the blended rate relates to the proposed role mix.</w:t>
            </w:r>
          </w:p>
        </w:tc>
      </w:tr>
      <w:tr w:rsidR="0040228E" w:rsidRPr="007F4174" w14:paraId="019C5C30" w14:textId="77777777" w:rsidTr="07BFE459">
        <w:trPr>
          <w:gridAfter w:val="1"/>
          <w:wAfter w:w="12" w:type="dxa"/>
        </w:trPr>
        <w:tc>
          <w:tcPr>
            <w:tcW w:w="553" w:type="dxa"/>
          </w:tcPr>
          <w:p w14:paraId="0196242C" w14:textId="01EE4DF9" w:rsidR="0040228E" w:rsidRPr="008A23C1" w:rsidRDefault="00C96E0A"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33.</w:t>
            </w:r>
          </w:p>
        </w:tc>
        <w:tc>
          <w:tcPr>
            <w:tcW w:w="3818" w:type="dxa"/>
          </w:tcPr>
          <w:p w14:paraId="361220A5" w14:textId="54CD1C0F" w:rsidR="009D73F2" w:rsidRPr="009D73F2" w:rsidRDefault="009D73F2" w:rsidP="009D73F2">
            <w:pPr>
              <w:spacing w:line="240" w:lineRule="auto"/>
              <w:rPr>
                <w:color w:val="2F5496" w:themeColor="accent1" w:themeShade="BF"/>
              </w:rPr>
            </w:pPr>
            <w:r w:rsidRPr="009D73F2">
              <w:rPr>
                <w:color w:val="2F5496" w:themeColor="accent1" w:themeShade="BF"/>
              </w:rPr>
              <w:t>Fixed-price engagement process</w:t>
            </w:r>
            <w:r>
              <w:rPr>
                <w:color w:val="2F5496" w:themeColor="accent1" w:themeShade="BF"/>
              </w:rPr>
              <w:t>-</w:t>
            </w:r>
          </w:p>
          <w:p w14:paraId="707B2850" w14:textId="77777777" w:rsidR="009D73F2" w:rsidRPr="009D73F2" w:rsidRDefault="009D73F2" w:rsidP="009D73F2">
            <w:pPr>
              <w:spacing w:line="240" w:lineRule="auto"/>
              <w:rPr>
                <w:color w:val="2F5496" w:themeColor="accent1" w:themeShade="BF"/>
              </w:rPr>
            </w:pPr>
            <w:r w:rsidRPr="009D73F2">
              <w:rPr>
                <w:color w:val="2F5496" w:themeColor="accent1" w:themeShade="BF"/>
              </w:rPr>
              <w:t>The qualitative award criteria ask tenderers to describe the process for fixed-price engagements, including resource selection, assignment, supervision, quality control, progress reporting and issue resolution.</w:t>
            </w:r>
          </w:p>
          <w:p w14:paraId="3FC6851E" w14:textId="77777777" w:rsidR="009D73F2" w:rsidRPr="009D73F2" w:rsidRDefault="009D73F2" w:rsidP="009D73F2">
            <w:pPr>
              <w:spacing w:line="240" w:lineRule="auto"/>
              <w:rPr>
                <w:color w:val="2F5496" w:themeColor="accent1" w:themeShade="BF"/>
              </w:rPr>
            </w:pPr>
          </w:p>
          <w:p w14:paraId="77F65CAF" w14:textId="3DED93B6" w:rsidR="0040228E" w:rsidRPr="007F4174" w:rsidRDefault="009D73F2" w:rsidP="009D73F2">
            <w:pPr>
              <w:spacing w:line="240" w:lineRule="auto"/>
              <w:rPr>
                <w:color w:val="2F5496" w:themeColor="accent1" w:themeShade="BF"/>
              </w:rPr>
            </w:pPr>
            <w:r w:rsidRPr="009D73F2">
              <w:rPr>
                <w:color w:val="2F5496" w:themeColor="accent1" w:themeShade="BF"/>
              </w:rPr>
              <w:t>Please confirm whether fixed-price engagements under the Lot 1 framework will be priced using the same blended daily rate and agreed effort estimate, or whether separate fixed-price commercial proposals will be requested for each engagement.</w:t>
            </w:r>
          </w:p>
        </w:tc>
        <w:tc>
          <w:tcPr>
            <w:tcW w:w="4490" w:type="dxa"/>
            <w:gridSpan w:val="2"/>
          </w:tcPr>
          <w:p w14:paraId="414EA853" w14:textId="7FEBC59A" w:rsidR="0040228E" w:rsidRPr="009F0E48" w:rsidRDefault="009D73F2" w:rsidP="009F0E48">
            <w:pPr>
              <w:spacing w:line="240" w:lineRule="auto"/>
              <w:jc w:val="both"/>
              <w:rPr>
                <w:b/>
                <w:bCs/>
                <w:color w:val="2F5496" w:themeColor="accent1" w:themeShade="BF"/>
              </w:rPr>
            </w:pPr>
            <w:r w:rsidRPr="009D73F2">
              <w:rPr>
                <w:b/>
                <w:bCs/>
                <w:color w:val="2F5496" w:themeColor="accent1" w:themeShade="BF"/>
              </w:rPr>
              <w:t>Fixed-price engagements under the Lot</w:t>
            </w:r>
            <w:r>
              <w:rPr>
                <w:b/>
                <w:bCs/>
                <w:color w:val="2F5496" w:themeColor="accent1" w:themeShade="BF"/>
              </w:rPr>
              <w:t>-</w:t>
            </w:r>
            <w:r w:rsidRPr="009D73F2">
              <w:rPr>
                <w:b/>
                <w:bCs/>
                <w:color w:val="2F5496" w:themeColor="accent1" w:themeShade="BF"/>
              </w:rPr>
              <w:t>1 framework will be priced using the same blended daily rate and agreed effort estimate</w:t>
            </w:r>
            <w:r>
              <w:rPr>
                <w:b/>
                <w:bCs/>
                <w:color w:val="2F5496" w:themeColor="accent1" w:themeShade="BF"/>
              </w:rPr>
              <w:t>.</w:t>
            </w:r>
          </w:p>
        </w:tc>
      </w:tr>
      <w:tr w:rsidR="0040228E" w:rsidRPr="007F4174" w14:paraId="3C87BE1D" w14:textId="77777777" w:rsidTr="07BFE459">
        <w:trPr>
          <w:gridAfter w:val="1"/>
          <w:wAfter w:w="12" w:type="dxa"/>
        </w:trPr>
        <w:tc>
          <w:tcPr>
            <w:tcW w:w="553" w:type="dxa"/>
          </w:tcPr>
          <w:p w14:paraId="6BDAA776" w14:textId="528B5B2A" w:rsidR="0040228E" w:rsidRPr="008A23C1" w:rsidRDefault="009D73F2"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34.</w:t>
            </w:r>
          </w:p>
        </w:tc>
        <w:tc>
          <w:tcPr>
            <w:tcW w:w="3818" w:type="dxa"/>
          </w:tcPr>
          <w:p w14:paraId="75C79930" w14:textId="229004E2" w:rsidR="009D73F2" w:rsidRPr="009D73F2" w:rsidRDefault="009D73F2" w:rsidP="009D73F2">
            <w:pPr>
              <w:spacing w:line="240" w:lineRule="auto"/>
              <w:rPr>
                <w:color w:val="2F5496" w:themeColor="accent1" w:themeShade="BF"/>
              </w:rPr>
            </w:pPr>
            <w:r w:rsidRPr="009D73F2">
              <w:rPr>
                <w:color w:val="2F5496" w:themeColor="accent1" w:themeShade="BF"/>
              </w:rPr>
              <w:t>Sub</w:t>
            </w:r>
            <w:r w:rsidR="00F74CB9">
              <w:rPr>
                <w:color w:val="2F5496" w:themeColor="accent1" w:themeShade="BF"/>
              </w:rPr>
              <w:t xml:space="preserve"> </w:t>
            </w:r>
            <w:r w:rsidRPr="009D73F2">
              <w:rPr>
                <w:color w:val="2F5496" w:themeColor="accent1" w:themeShade="BF"/>
              </w:rPr>
              <w:t>processors</w:t>
            </w:r>
            <w:r w:rsidRPr="009D73F2">
              <w:rPr>
                <w:color w:val="2F5496" w:themeColor="accent1" w:themeShade="BF"/>
              </w:rPr>
              <w:t xml:space="preserve"> and data processing</w:t>
            </w:r>
            <w:r>
              <w:rPr>
                <w:color w:val="2F5496" w:themeColor="accent1" w:themeShade="BF"/>
              </w:rPr>
              <w:t>-</w:t>
            </w:r>
          </w:p>
          <w:p w14:paraId="054CBFC0" w14:textId="5B607E67" w:rsidR="009D73F2" w:rsidRPr="009D73F2" w:rsidRDefault="009D73F2" w:rsidP="009D73F2">
            <w:pPr>
              <w:spacing w:line="240" w:lineRule="auto"/>
              <w:rPr>
                <w:color w:val="2F5496" w:themeColor="accent1" w:themeShade="BF"/>
              </w:rPr>
            </w:pPr>
            <w:r w:rsidRPr="009D73F2">
              <w:rPr>
                <w:color w:val="2F5496" w:themeColor="accent1" w:themeShade="BF"/>
              </w:rPr>
              <w:t xml:space="preserve">Where a tenderer proposes to use subcontractors who may process personal data as part of Lot 1 service delivery, please confirm what information regarding </w:t>
            </w:r>
            <w:r w:rsidRPr="009D73F2">
              <w:rPr>
                <w:color w:val="2F5496" w:themeColor="accent1" w:themeShade="BF"/>
              </w:rPr>
              <w:t>sub processors</w:t>
            </w:r>
            <w:r w:rsidRPr="009D73F2">
              <w:rPr>
                <w:color w:val="2F5496" w:themeColor="accent1" w:themeShade="BF"/>
              </w:rPr>
              <w:t xml:space="preserve"> is required at tender submission stage.</w:t>
            </w:r>
          </w:p>
          <w:p w14:paraId="6C64DF38" w14:textId="77777777" w:rsidR="009D73F2" w:rsidRPr="009D73F2" w:rsidRDefault="009D73F2" w:rsidP="009D73F2">
            <w:pPr>
              <w:spacing w:line="240" w:lineRule="auto"/>
              <w:rPr>
                <w:color w:val="2F5496" w:themeColor="accent1" w:themeShade="BF"/>
              </w:rPr>
            </w:pPr>
          </w:p>
          <w:p w14:paraId="3E5739B3" w14:textId="4D2510CB" w:rsidR="0040228E" w:rsidRPr="007F4174" w:rsidRDefault="009D73F2" w:rsidP="009D73F2">
            <w:pPr>
              <w:spacing w:line="240" w:lineRule="auto"/>
              <w:rPr>
                <w:color w:val="2F5496" w:themeColor="accent1" w:themeShade="BF"/>
              </w:rPr>
            </w:pPr>
            <w:r w:rsidRPr="009D73F2">
              <w:rPr>
                <w:color w:val="2F5496" w:themeColor="accent1" w:themeShade="BF"/>
              </w:rPr>
              <w:t xml:space="preserve">Please also confirm whether approval of </w:t>
            </w:r>
            <w:r w:rsidRPr="009D73F2">
              <w:rPr>
                <w:color w:val="2F5496" w:themeColor="accent1" w:themeShade="BF"/>
              </w:rPr>
              <w:t>sub processors</w:t>
            </w:r>
            <w:r w:rsidRPr="009D73F2">
              <w:rPr>
                <w:color w:val="2F5496" w:themeColor="accent1" w:themeShade="BF"/>
              </w:rPr>
              <w:t xml:space="preserve"> will be handled at framework award stage, call-off stage, or during mobilisation.</w:t>
            </w:r>
          </w:p>
        </w:tc>
        <w:tc>
          <w:tcPr>
            <w:tcW w:w="4490" w:type="dxa"/>
            <w:gridSpan w:val="2"/>
          </w:tcPr>
          <w:p w14:paraId="334D6E28" w14:textId="42DE1C6D" w:rsidR="0040228E" w:rsidRPr="009F0E48" w:rsidRDefault="00F74CB9" w:rsidP="009F0E48">
            <w:pPr>
              <w:spacing w:line="240" w:lineRule="auto"/>
              <w:jc w:val="both"/>
              <w:rPr>
                <w:b/>
                <w:bCs/>
                <w:color w:val="2F5496" w:themeColor="accent1" w:themeShade="BF"/>
              </w:rPr>
            </w:pPr>
            <w:r w:rsidRPr="00F74CB9">
              <w:rPr>
                <w:b/>
                <w:bCs/>
                <w:color w:val="2F5496" w:themeColor="accent1" w:themeShade="BF"/>
              </w:rPr>
              <w:t xml:space="preserve">No information regarding data </w:t>
            </w:r>
            <w:r w:rsidRPr="00F74CB9">
              <w:rPr>
                <w:b/>
                <w:bCs/>
                <w:color w:val="2F5496" w:themeColor="accent1" w:themeShade="BF"/>
              </w:rPr>
              <w:t>sub processors</w:t>
            </w:r>
            <w:r w:rsidRPr="00F74CB9">
              <w:rPr>
                <w:b/>
                <w:bCs/>
                <w:color w:val="2F5496" w:themeColor="accent1" w:themeShade="BF"/>
              </w:rPr>
              <w:t xml:space="preserve"> is required at tender submission stage. These matters will be agreed at Contract call-off stage.</w:t>
            </w:r>
          </w:p>
        </w:tc>
      </w:tr>
      <w:tr w:rsidR="0040228E" w:rsidRPr="007F4174" w14:paraId="034BE7D5" w14:textId="77777777" w:rsidTr="07BFE459">
        <w:trPr>
          <w:gridAfter w:val="1"/>
          <w:wAfter w:w="12" w:type="dxa"/>
        </w:trPr>
        <w:tc>
          <w:tcPr>
            <w:tcW w:w="553" w:type="dxa"/>
          </w:tcPr>
          <w:p w14:paraId="74457442" w14:textId="07F6F08F" w:rsidR="0040228E" w:rsidRPr="008A23C1" w:rsidRDefault="00F74CB9"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35.</w:t>
            </w:r>
          </w:p>
        </w:tc>
        <w:tc>
          <w:tcPr>
            <w:tcW w:w="3818" w:type="dxa"/>
          </w:tcPr>
          <w:p w14:paraId="5667EA80" w14:textId="5B6BEF5C" w:rsidR="00EF6379" w:rsidRPr="00EF6379" w:rsidRDefault="00EF6379" w:rsidP="00EF6379">
            <w:pPr>
              <w:spacing w:line="240" w:lineRule="auto"/>
              <w:rPr>
                <w:color w:val="2F5496" w:themeColor="accent1" w:themeShade="BF"/>
              </w:rPr>
            </w:pPr>
            <w:r w:rsidRPr="00EF6379">
              <w:rPr>
                <w:color w:val="2F5496" w:themeColor="accent1" w:themeShade="BF"/>
              </w:rPr>
              <w:t>A few questions from RFT document</w:t>
            </w:r>
            <w:r>
              <w:rPr>
                <w:color w:val="2F5496" w:themeColor="accent1" w:themeShade="BF"/>
              </w:rPr>
              <w:t>-</w:t>
            </w:r>
          </w:p>
          <w:p w14:paraId="6B9C04A4" w14:textId="77777777" w:rsidR="00EF6379" w:rsidRPr="00EF6379" w:rsidRDefault="00EF6379" w:rsidP="00EF6379">
            <w:pPr>
              <w:spacing w:line="240" w:lineRule="auto"/>
              <w:rPr>
                <w:color w:val="2F5496" w:themeColor="accent1" w:themeShade="BF"/>
              </w:rPr>
            </w:pPr>
          </w:p>
          <w:p w14:paraId="5B6B071B" w14:textId="21229917" w:rsidR="00EF6379" w:rsidRPr="00EF6379" w:rsidRDefault="00EF6379" w:rsidP="00EF6379">
            <w:pPr>
              <w:pStyle w:val="ListParagraph"/>
              <w:numPr>
                <w:ilvl w:val="0"/>
                <w:numId w:val="42"/>
              </w:numPr>
              <w:spacing w:line="240" w:lineRule="auto"/>
              <w:rPr>
                <w:color w:val="2F5496" w:themeColor="accent1" w:themeShade="BF"/>
              </w:rPr>
            </w:pPr>
            <w:r w:rsidRPr="00EF6379">
              <w:rPr>
                <w:color w:val="2F5496" w:themeColor="accent1" w:themeShade="BF"/>
              </w:rPr>
              <w:t xml:space="preserve">section 2.5. – since the prices are fix only for initial 2 years and prolongation for 1+1 is upon contracting authority discretion only, we would like to be given explanation if tenderer has the right to reject the prolongation if new prices are not negotiated. If tenderer has no such right, please explain which prices apply in cases of prolongation if agreement on new prices is not reached?  </w:t>
            </w:r>
          </w:p>
          <w:p w14:paraId="33FC76A5" w14:textId="77777777" w:rsidR="00EF6379" w:rsidRPr="00EF6379" w:rsidRDefault="00EF6379" w:rsidP="00EF6379">
            <w:pPr>
              <w:spacing w:line="240" w:lineRule="auto"/>
              <w:rPr>
                <w:color w:val="2F5496" w:themeColor="accent1" w:themeShade="BF"/>
              </w:rPr>
            </w:pPr>
          </w:p>
          <w:p w14:paraId="776057A1" w14:textId="68691A82" w:rsidR="00EF6379" w:rsidRPr="00EF6379" w:rsidRDefault="00EF6379" w:rsidP="00EF6379">
            <w:pPr>
              <w:pStyle w:val="ListParagraph"/>
              <w:numPr>
                <w:ilvl w:val="0"/>
                <w:numId w:val="42"/>
              </w:numPr>
              <w:spacing w:line="240" w:lineRule="auto"/>
              <w:rPr>
                <w:color w:val="2F5496" w:themeColor="accent1" w:themeShade="BF"/>
              </w:rPr>
            </w:pPr>
            <w:r w:rsidRPr="00EF6379">
              <w:rPr>
                <w:color w:val="2F5496" w:themeColor="accent1" w:themeShade="BF"/>
              </w:rPr>
              <w:lastRenderedPageBreak/>
              <w:t>section 3.1. expects 90-day warranty period on all live releases. Please confirm that this request is only applicable in case of development. If our presumptions are not correct, please give some examples what is meant with live releases?</w:t>
            </w:r>
          </w:p>
          <w:p w14:paraId="460EA476" w14:textId="77777777" w:rsidR="00EF6379" w:rsidRPr="00EF6379" w:rsidRDefault="00EF6379" w:rsidP="00EF6379">
            <w:pPr>
              <w:spacing w:line="240" w:lineRule="auto"/>
              <w:rPr>
                <w:color w:val="2F5496" w:themeColor="accent1" w:themeShade="BF"/>
              </w:rPr>
            </w:pPr>
          </w:p>
          <w:p w14:paraId="3AC82F24" w14:textId="7DD04EB6" w:rsidR="00EF6379" w:rsidRPr="00EF6379" w:rsidRDefault="00EF6379" w:rsidP="00EF6379">
            <w:pPr>
              <w:pStyle w:val="ListParagraph"/>
              <w:numPr>
                <w:ilvl w:val="0"/>
                <w:numId w:val="42"/>
              </w:numPr>
              <w:spacing w:line="240" w:lineRule="auto"/>
              <w:rPr>
                <w:color w:val="2F5496" w:themeColor="accent1" w:themeShade="BF"/>
              </w:rPr>
            </w:pPr>
            <w:r w:rsidRPr="00EF6379">
              <w:rPr>
                <w:color w:val="2F5496" w:themeColor="accent1" w:themeShade="BF"/>
              </w:rPr>
              <w:t>in “B - Technical Capacity Requirements in section Previous Contracts/Experience” Contracting Authority requires that previous experience “must refer to the support, maintenance and development of similar national level critical”. Please list all similar national critical level and also please explain how tenderers should prove this condition?</w:t>
            </w:r>
          </w:p>
          <w:p w14:paraId="2CC53D9D" w14:textId="77777777" w:rsidR="00EF6379" w:rsidRPr="00EF6379" w:rsidRDefault="00EF6379" w:rsidP="00EF6379">
            <w:pPr>
              <w:spacing w:line="240" w:lineRule="auto"/>
              <w:rPr>
                <w:color w:val="2F5496" w:themeColor="accent1" w:themeShade="BF"/>
              </w:rPr>
            </w:pPr>
          </w:p>
          <w:p w14:paraId="2789F021" w14:textId="5A7F3DF6" w:rsidR="0040228E" w:rsidRPr="007F4174" w:rsidRDefault="00EF6379" w:rsidP="00EF6379">
            <w:pPr>
              <w:spacing w:line="240" w:lineRule="auto"/>
              <w:rPr>
                <w:color w:val="2F5496" w:themeColor="accent1" w:themeShade="BF"/>
              </w:rPr>
            </w:pPr>
            <w:r>
              <w:rPr>
                <w:color w:val="2F5496" w:themeColor="accent1" w:themeShade="BF"/>
              </w:rPr>
              <w:t>4.</w:t>
            </w:r>
            <w:r w:rsidR="009D3C54">
              <w:rPr>
                <w:color w:val="2F5496" w:themeColor="accent1" w:themeShade="BF"/>
              </w:rPr>
              <w:t xml:space="preserve">  S</w:t>
            </w:r>
            <w:r w:rsidRPr="00EF6379">
              <w:rPr>
                <w:color w:val="2F5496" w:themeColor="accent1" w:themeShade="BF"/>
              </w:rPr>
              <w:t>ection 6.32 please explain which changes of legislation are meant to be an obligation of tenderers to incorporate – are any changes that occur during the execution of this tender sole responsibility of tenderer no matter what scale of additional costs and similar are?</w:t>
            </w:r>
          </w:p>
        </w:tc>
        <w:tc>
          <w:tcPr>
            <w:tcW w:w="4490" w:type="dxa"/>
            <w:gridSpan w:val="2"/>
          </w:tcPr>
          <w:p w14:paraId="614B2DE9" w14:textId="77777777" w:rsidR="00EF6379" w:rsidRDefault="00EF6379" w:rsidP="00EF6379">
            <w:pPr>
              <w:spacing w:line="240" w:lineRule="auto"/>
              <w:jc w:val="both"/>
              <w:rPr>
                <w:b/>
                <w:bCs/>
                <w:color w:val="2F5496" w:themeColor="accent1" w:themeShade="BF"/>
              </w:rPr>
            </w:pPr>
            <w:r w:rsidRPr="00EF6379">
              <w:rPr>
                <w:b/>
                <w:bCs/>
                <w:color w:val="2F5496" w:themeColor="accent1" w:themeShade="BF"/>
              </w:rPr>
              <w:lastRenderedPageBreak/>
              <w:t>1. The tenderer does not have the right to reject the prolongation if the new prices are not agreed.</w:t>
            </w:r>
          </w:p>
          <w:p w14:paraId="2461A9F8" w14:textId="77777777" w:rsidR="009D3C54" w:rsidRDefault="009D3C54" w:rsidP="00EF6379">
            <w:pPr>
              <w:spacing w:line="240" w:lineRule="auto"/>
              <w:jc w:val="both"/>
              <w:rPr>
                <w:b/>
                <w:bCs/>
                <w:color w:val="2F5496" w:themeColor="accent1" w:themeShade="BF"/>
              </w:rPr>
            </w:pPr>
          </w:p>
          <w:p w14:paraId="29071898" w14:textId="77777777" w:rsidR="009D3C54" w:rsidRDefault="009D3C54" w:rsidP="00EF6379">
            <w:pPr>
              <w:spacing w:line="240" w:lineRule="auto"/>
              <w:jc w:val="both"/>
              <w:rPr>
                <w:b/>
                <w:bCs/>
                <w:color w:val="2F5496" w:themeColor="accent1" w:themeShade="BF"/>
              </w:rPr>
            </w:pPr>
          </w:p>
          <w:p w14:paraId="1A72DA2B" w14:textId="77777777" w:rsidR="009D3C54" w:rsidRDefault="009D3C54" w:rsidP="00EF6379">
            <w:pPr>
              <w:spacing w:line="240" w:lineRule="auto"/>
              <w:jc w:val="both"/>
              <w:rPr>
                <w:b/>
                <w:bCs/>
                <w:color w:val="2F5496" w:themeColor="accent1" w:themeShade="BF"/>
              </w:rPr>
            </w:pPr>
          </w:p>
          <w:p w14:paraId="014E2178" w14:textId="77777777" w:rsidR="009D3C54" w:rsidRDefault="009D3C54" w:rsidP="00EF6379">
            <w:pPr>
              <w:spacing w:line="240" w:lineRule="auto"/>
              <w:jc w:val="both"/>
              <w:rPr>
                <w:b/>
                <w:bCs/>
                <w:color w:val="2F5496" w:themeColor="accent1" w:themeShade="BF"/>
              </w:rPr>
            </w:pPr>
          </w:p>
          <w:p w14:paraId="5617E965" w14:textId="77777777" w:rsidR="009D3C54" w:rsidRDefault="009D3C54" w:rsidP="00EF6379">
            <w:pPr>
              <w:spacing w:line="240" w:lineRule="auto"/>
              <w:jc w:val="both"/>
              <w:rPr>
                <w:b/>
                <w:bCs/>
                <w:color w:val="2F5496" w:themeColor="accent1" w:themeShade="BF"/>
              </w:rPr>
            </w:pPr>
          </w:p>
          <w:p w14:paraId="3201A5AB" w14:textId="77777777" w:rsidR="009D3C54" w:rsidRDefault="009D3C54" w:rsidP="00EF6379">
            <w:pPr>
              <w:spacing w:line="240" w:lineRule="auto"/>
              <w:jc w:val="both"/>
              <w:rPr>
                <w:b/>
                <w:bCs/>
                <w:color w:val="2F5496" w:themeColor="accent1" w:themeShade="BF"/>
              </w:rPr>
            </w:pPr>
          </w:p>
          <w:p w14:paraId="40C4CD7E" w14:textId="77777777" w:rsidR="009D3C54" w:rsidRDefault="009D3C54" w:rsidP="00EF6379">
            <w:pPr>
              <w:spacing w:line="240" w:lineRule="auto"/>
              <w:jc w:val="both"/>
              <w:rPr>
                <w:b/>
                <w:bCs/>
                <w:color w:val="2F5496" w:themeColor="accent1" w:themeShade="BF"/>
              </w:rPr>
            </w:pPr>
          </w:p>
          <w:p w14:paraId="421D95CC" w14:textId="77777777" w:rsidR="009D3C54" w:rsidRDefault="009D3C54" w:rsidP="00EF6379">
            <w:pPr>
              <w:spacing w:line="240" w:lineRule="auto"/>
              <w:jc w:val="both"/>
              <w:rPr>
                <w:b/>
                <w:bCs/>
                <w:color w:val="2F5496" w:themeColor="accent1" w:themeShade="BF"/>
              </w:rPr>
            </w:pPr>
          </w:p>
          <w:p w14:paraId="56172354" w14:textId="77777777" w:rsidR="009D3C54" w:rsidRDefault="009D3C54" w:rsidP="00EF6379">
            <w:pPr>
              <w:spacing w:line="240" w:lineRule="auto"/>
              <w:jc w:val="both"/>
              <w:rPr>
                <w:b/>
                <w:bCs/>
                <w:color w:val="2F5496" w:themeColor="accent1" w:themeShade="BF"/>
              </w:rPr>
            </w:pPr>
          </w:p>
          <w:p w14:paraId="06834282" w14:textId="77777777" w:rsidR="009D3C54" w:rsidRDefault="009D3C54" w:rsidP="00EF6379">
            <w:pPr>
              <w:spacing w:line="240" w:lineRule="auto"/>
              <w:jc w:val="both"/>
              <w:rPr>
                <w:b/>
                <w:bCs/>
                <w:color w:val="2F5496" w:themeColor="accent1" w:themeShade="BF"/>
              </w:rPr>
            </w:pPr>
          </w:p>
          <w:p w14:paraId="7DCBE633" w14:textId="77777777" w:rsidR="009D3C54" w:rsidRDefault="009D3C54" w:rsidP="00EF6379">
            <w:pPr>
              <w:spacing w:line="240" w:lineRule="auto"/>
              <w:jc w:val="both"/>
              <w:rPr>
                <w:b/>
                <w:bCs/>
                <w:color w:val="2F5496" w:themeColor="accent1" w:themeShade="BF"/>
              </w:rPr>
            </w:pPr>
          </w:p>
          <w:p w14:paraId="694508EC" w14:textId="77777777" w:rsidR="009D3C54" w:rsidRPr="00EF6379" w:rsidRDefault="009D3C54" w:rsidP="00EF6379">
            <w:pPr>
              <w:spacing w:line="240" w:lineRule="auto"/>
              <w:jc w:val="both"/>
              <w:rPr>
                <w:b/>
                <w:bCs/>
                <w:color w:val="2F5496" w:themeColor="accent1" w:themeShade="BF"/>
              </w:rPr>
            </w:pPr>
          </w:p>
          <w:p w14:paraId="1C2D2EF2" w14:textId="77777777" w:rsidR="00EF6379" w:rsidRPr="00EF6379" w:rsidRDefault="00EF6379" w:rsidP="00EF6379">
            <w:pPr>
              <w:spacing w:line="240" w:lineRule="auto"/>
              <w:jc w:val="both"/>
              <w:rPr>
                <w:b/>
                <w:bCs/>
                <w:color w:val="2F5496" w:themeColor="accent1" w:themeShade="BF"/>
              </w:rPr>
            </w:pPr>
          </w:p>
          <w:p w14:paraId="0C6EB197" w14:textId="77777777" w:rsidR="00EF6379" w:rsidRDefault="00EF6379" w:rsidP="00EF6379">
            <w:pPr>
              <w:spacing w:line="240" w:lineRule="auto"/>
              <w:jc w:val="both"/>
              <w:rPr>
                <w:b/>
                <w:bCs/>
                <w:color w:val="2F5496" w:themeColor="accent1" w:themeShade="BF"/>
              </w:rPr>
            </w:pPr>
            <w:r w:rsidRPr="00EF6379">
              <w:rPr>
                <w:b/>
                <w:bCs/>
                <w:color w:val="2F5496" w:themeColor="accent1" w:themeShade="BF"/>
              </w:rPr>
              <w:lastRenderedPageBreak/>
              <w:t>2. The 90-day warranty period is applicable for ALL production environment releases arising from application support and maintenance or development.</w:t>
            </w:r>
          </w:p>
          <w:p w14:paraId="3AFD2FCA" w14:textId="77777777" w:rsidR="009D3C54" w:rsidRDefault="009D3C54" w:rsidP="00EF6379">
            <w:pPr>
              <w:spacing w:line="240" w:lineRule="auto"/>
              <w:jc w:val="both"/>
              <w:rPr>
                <w:b/>
                <w:bCs/>
                <w:color w:val="2F5496" w:themeColor="accent1" w:themeShade="BF"/>
              </w:rPr>
            </w:pPr>
          </w:p>
          <w:p w14:paraId="2C9774BC" w14:textId="77777777" w:rsidR="009D3C54" w:rsidRDefault="009D3C54" w:rsidP="00EF6379">
            <w:pPr>
              <w:spacing w:line="240" w:lineRule="auto"/>
              <w:jc w:val="both"/>
              <w:rPr>
                <w:b/>
                <w:bCs/>
                <w:color w:val="2F5496" w:themeColor="accent1" w:themeShade="BF"/>
              </w:rPr>
            </w:pPr>
          </w:p>
          <w:p w14:paraId="6EE9F834" w14:textId="77777777" w:rsidR="009D3C54" w:rsidRDefault="009D3C54" w:rsidP="00EF6379">
            <w:pPr>
              <w:spacing w:line="240" w:lineRule="auto"/>
              <w:jc w:val="both"/>
              <w:rPr>
                <w:b/>
                <w:bCs/>
                <w:color w:val="2F5496" w:themeColor="accent1" w:themeShade="BF"/>
              </w:rPr>
            </w:pPr>
          </w:p>
          <w:p w14:paraId="60864D28" w14:textId="77777777" w:rsidR="009D3C54" w:rsidRDefault="009D3C54" w:rsidP="00EF6379">
            <w:pPr>
              <w:spacing w:line="240" w:lineRule="auto"/>
              <w:jc w:val="both"/>
              <w:rPr>
                <w:b/>
                <w:bCs/>
                <w:color w:val="2F5496" w:themeColor="accent1" w:themeShade="BF"/>
              </w:rPr>
            </w:pPr>
          </w:p>
          <w:p w14:paraId="42685D29" w14:textId="77777777" w:rsidR="009D3C54" w:rsidRDefault="009D3C54" w:rsidP="00EF6379">
            <w:pPr>
              <w:spacing w:line="240" w:lineRule="auto"/>
              <w:jc w:val="both"/>
              <w:rPr>
                <w:b/>
                <w:bCs/>
                <w:color w:val="2F5496" w:themeColor="accent1" w:themeShade="BF"/>
              </w:rPr>
            </w:pPr>
          </w:p>
          <w:p w14:paraId="0D9F9FC3" w14:textId="77777777" w:rsidR="00EF6379" w:rsidRPr="00EF6379" w:rsidRDefault="00EF6379" w:rsidP="00EF6379">
            <w:pPr>
              <w:spacing w:line="240" w:lineRule="auto"/>
              <w:jc w:val="both"/>
              <w:rPr>
                <w:b/>
                <w:bCs/>
                <w:color w:val="2F5496" w:themeColor="accent1" w:themeShade="BF"/>
              </w:rPr>
            </w:pPr>
          </w:p>
          <w:p w14:paraId="3FC0AE44" w14:textId="6F8469B8" w:rsidR="00EF6379" w:rsidRDefault="00EF6379" w:rsidP="00EF6379">
            <w:pPr>
              <w:spacing w:line="240" w:lineRule="auto"/>
              <w:jc w:val="both"/>
              <w:rPr>
                <w:b/>
                <w:bCs/>
                <w:color w:val="2F5496" w:themeColor="accent1" w:themeShade="BF"/>
              </w:rPr>
            </w:pPr>
            <w:r w:rsidRPr="00EF6379">
              <w:rPr>
                <w:b/>
                <w:bCs/>
                <w:color w:val="2F5496" w:themeColor="accent1" w:themeShade="BF"/>
              </w:rPr>
              <w:t xml:space="preserve">3. The phrase "national level critical" </w:t>
            </w:r>
            <w:r w:rsidR="009D3C54" w:rsidRPr="00EF6379">
              <w:rPr>
                <w:b/>
                <w:bCs/>
                <w:color w:val="2F5496" w:themeColor="accent1" w:themeShade="BF"/>
              </w:rPr>
              <w:t>system implies</w:t>
            </w:r>
            <w:r w:rsidRPr="00EF6379">
              <w:rPr>
                <w:b/>
                <w:bCs/>
                <w:color w:val="2F5496" w:themeColor="accent1" w:themeShade="BF"/>
              </w:rPr>
              <w:t xml:space="preserve"> any </w:t>
            </w:r>
            <w:r w:rsidR="009D3C54" w:rsidRPr="00EF6379">
              <w:rPr>
                <w:b/>
                <w:bCs/>
                <w:color w:val="2F5496" w:themeColor="accent1" w:themeShade="BF"/>
              </w:rPr>
              <w:t>large-scale</w:t>
            </w:r>
            <w:r w:rsidRPr="00EF6379">
              <w:rPr>
                <w:b/>
                <w:bCs/>
                <w:color w:val="2F5496" w:themeColor="accent1" w:themeShade="BF"/>
              </w:rPr>
              <w:t xml:space="preserve"> IT system that is mission critical and widely used.</w:t>
            </w:r>
          </w:p>
          <w:p w14:paraId="611109BC" w14:textId="77777777" w:rsidR="009D3C54" w:rsidRPr="00EF6379" w:rsidRDefault="009D3C54" w:rsidP="00EF6379">
            <w:pPr>
              <w:spacing w:line="240" w:lineRule="auto"/>
              <w:jc w:val="both"/>
              <w:rPr>
                <w:b/>
                <w:bCs/>
                <w:color w:val="2F5496" w:themeColor="accent1" w:themeShade="BF"/>
              </w:rPr>
            </w:pPr>
          </w:p>
          <w:p w14:paraId="5DEA49E8" w14:textId="77777777" w:rsidR="00EF6379" w:rsidRDefault="00EF6379" w:rsidP="00EF6379">
            <w:pPr>
              <w:spacing w:line="240" w:lineRule="auto"/>
              <w:jc w:val="both"/>
              <w:rPr>
                <w:b/>
                <w:bCs/>
                <w:color w:val="2F5496" w:themeColor="accent1" w:themeShade="BF"/>
              </w:rPr>
            </w:pPr>
          </w:p>
          <w:p w14:paraId="1DA34E4B" w14:textId="77777777" w:rsidR="009D3C54" w:rsidRDefault="009D3C54" w:rsidP="00EF6379">
            <w:pPr>
              <w:spacing w:line="240" w:lineRule="auto"/>
              <w:jc w:val="both"/>
              <w:rPr>
                <w:b/>
                <w:bCs/>
                <w:color w:val="2F5496" w:themeColor="accent1" w:themeShade="BF"/>
              </w:rPr>
            </w:pPr>
          </w:p>
          <w:p w14:paraId="08D2F2AD" w14:textId="77777777" w:rsidR="009D3C54" w:rsidRDefault="009D3C54" w:rsidP="00EF6379">
            <w:pPr>
              <w:spacing w:line="240" w:lineRule="auto"/>
              <w:jc w:val="both"/>
              <w:rPr>
                <w:b/>
                <w:bCs/>
                <w:color w:val="2F5496" w:themeColor="accent1" w:themeShade="BF"/>
              </w:rPr>
            </w:pPr>
          </w:p>
          <w:p w14:paraId="6B342EF2" w14:textId="77777777" w:rsidR="009D3C54" w:rsidRDefault="009D3C54" w:rsidP="00EF6379">
            <w:pPr>
              <w:spacing w:line="240" w:lineRule="auto"/>
              <w:jc w:val="both"/>
              <w:rPr>
                <w:b/>
                <w:bCs/>
                <w:color w:val="2F5496" w:themeColor="accent1" w:themeShade="BF"/>
              </w:rPr>
            </w:pPr>
          </w:p>
          <w:p w14:paraId="4B8AD5DC" w14:textId="77777777" w:rsidR="009D3C54" w:rsidRDefault="009D3C54" w:rsidP="00EF6379">
            <w:pPr>
              <w:spacing w:line="240" w:lineRule="auto"/>
              <w:jc w:val="both"/>
              <w:rPr>
                <w:b/>
                <w:bCs/>
                <w:color w:val="2F5496" w:themeColor="accent1" w:themeShade="BF"/>
              </w:rPr>
            </w:pPr>
          </w:p>
          <w:p w14:paraId="006AE7C9" w14:textId="77777777" w:rsidR="009D3C54" w:rsidRDefault="009D3C54" w:rsidP="00EF6379">
            <w:pPr>
              <w:spacing w:line="240" w:lineRule="auto"/>
              <w:jc w:val="both"/>
              <w:rPr>
                <w:b/>
                <w:bCs/>
                <w:color w:val="2F5496" w:themeColor="accent1" w:themeShade="BF"/>
              </w:rPr>
            </w:pPr>
          </w:p>
          <w:p w14:paraId="6E4BE332" w14:textId="77777777" w:rsidR="009D3C54" w:rsidRDefault="009D3C54" w:rsidP="00EF6379">
            <w:pPr>
              <w:spacing w:line="240" w:lineRule="auto"/>
              <w:jc w:val="both"/>
              <w:rPr>
                <w:b/>
                <w:bCs/>
                <w:color w:val="2F5496" w:themeColor="accent1" w:themeShade="BF"/>
              </w:rPr>
            </w:pPr>
          </w:p>
          <w:p w14:paraId="772F72A8" w14:textId="77777777" w:rsidR="009D3C54" w:rsidRDefault="009D3C54" w:rsidP="00EF6379">
            <w:pPr>
              <w:spacing w:line="240" w:lineRule="auto"/>
              <w:jc w:val="both"/>
              <w:rPr>
                <w:b/>
                <w:bCs/>
                <w:color w:val="2F5496" w:themeColor="accent1" w:themeShade="BF"/>
              </w:rPr>
            </w:pPr>
          </w:p>
          <w:p w14:paraId="493E0AE0" w14:textId="77777777" w:rsidR="009D3C54" w:rsidRPr="00EF6379" w:rsidRDefault="009D3C54" w:rsidP="00EF6379">
            <w:pPr>
              <w:spacing w:line="240" w:lineRule="auto"/>
              <w:jc w:val="both"/>
              <w:rPr>
                <w:b/>
                <w:bCs/>
                <w:color w:val="2F5496" w:themeColor="accent1" w:themeShade="BF"/>
              </w:rPr>
            </w:pPr>
          </w:p>
          <w:p w14:paraId="71CDE80B" w14:textId="1188897E" w:rsidR="0040228E" w:rsidRPr="009F0E48" w:rsidRDefault="00EF6379" w:rsidP="00EF6379">
            <w:pPr>
              <w:spacing w:line="240" w:lineRule="auto"/>
              <w:jc w:val="both"/>
              <w:rPr>
                <w:b/>
                <w:bCs/>
                <w:color w:val="2F5496" w:themeColor="accent1" w:themeShade="BF"/>
              </w:rPr>
            </w:pPr>
            <w:r w:rsidRPr="00EF6379">
              <w:rPr>
                <w:b/>
                <w:bCs/>
                <w:color w:val="2F5496" w:themeColor="accent1" w:themeShade="BF"/>
              </w:rPr>
              <w:t xml:space="preserve">4. Any legislation changes will be implemented via support and </w:t>
            </w:r>
            <w:r w:rsidR="009D3C54" w:rsidRPr="00EF6379">
              <w:rPr>
                <w:b/>
                <w:bCs/>
                <w:color w:val="2F5496" w:themeColor="accent1" w:themeShade="BF"/>
              </w:rPr>
              <w:t>maintenance</w:t>
            </w:r>
            <w:r w:rsidRPr="00EF6379">
              <w:rPr>
                <w:b/>
                <w:bCs/>
                <w:color w:val="2F5496" w:themeColor="accent1" w:themeShade="BF"/>
              </w:rPr>
              <w:t xml:space="preserve"> or new development call-off contracts in </w:t>
            </w:r>
            <w:r w:rsidR="009D3C54" w:rsidRPr="00EF6379">
              <w:rPr>
                <w:b/>
                <w:bCs/>
                <w:color w:val="2F5496" w:themeColor="accent1" w:themeShade="BF"/>
              </w:rPr>
              <w:t>consultation with</w:t>
            </w:r>
            <w:r w:rsidRPr="00EF6379">
              <w:rPr>
                <w:b/>
                <w:bCs/>
                <w:color w:val="2F5496" w:themeColor="accent1" w:themeShade="BF"/>
              </w:rPr>
              <w:t xml:space="preserve"> the tenderer.</w:t>
            </w:r>
          </w:p>
        </w:tc>
      </w:tr>
      <w:tr w:rsidR="00F74CB9" w:rsidRPr="007F4174" w14:paraId="46EB8F6A" w14:textId="77777777" w:rsidTr="07BFE459">
        <w:trPr>
          <w:gridAfter w:val="1"/>
          <w:wAfter w:w="12" w:type="dxa"/>
        </w:trPr>
        <w:tc>
          <w:tcPr>
            <w:tcW w:w="553" w:type="dxa"/>
          </w:tcPr>
          <w:p w14:paraId="3CE4E1E5" w14:textId="1F5ED47E" w:rsidR="00F74CB9" w:rsidRPr="008A23C1" w:rsidRDefault="001F46AC" w:rsidP="00094F5B">
            <w:pPr>
              <w:rPr>
                <w:rFonts w:ascii="Brother 1816 Light" w:hAnsi="Brother 1816 Light"/>
                <w:b/>
                <w:bCs/>
                <w:color w:val="2F5496" w:themeColor="accent1" w:themeShade="BF"/>
                <w:sz w:val="21"/>
                <w:szCs w:val="21"/>
                <w:shd w:val="clear" w:color="auto" w:fill="FFFFFF"/>
              </w:rPr>
            </w:pPr>
            <w:r>
              <w:rPr>
                <w:rFonts w:ascii="Brother 1816 Light" w:hAnsi="Brother 1816 Light"/>
                <w:b/>
                <w:bCs/>
                <w:color w:val="2F5496" w:themeColor="accent1" w:themeShade="BF"/>
                <w:sz w:val="21"/>
                <w:szCs w:val="21"/>
                <w:shd w:val="clear" w:color="auto" w:fill="FFFFFF"/>
              </w:rPr>
              <w:t>36.</w:t>
            </w:r>
          </w:p>
        </w:tc>
        <w:tc>
          <w:tcPr>
            <w:tcW w:w="3818" w:type="dxa"/>
          </w:tcPr>
          <w:p w14:paraId="6D9D8AE7" w14:textId="6FA90BEB" w:rsidR="001F46AC" w:rsidRPr="001F46AC" w:rsidRDefault="00576994" w:rsidP="001F46AC">
            <w:pPr>
              <w:spacing w:line="240" w:lineRule="auto"/>
              <w:rPr>
                <w:color w:val="2F5496" w:themeColor="accent1" w:themeShade="BF"/>
              </w:rPr>
            </w:pPr>
            <w:r>
              <w:rPr>
                <w:color w:val="2F5496" w:themeColor="accent1" w:themeShade="BF"/>
              </w:rPr>
              <w:t xml:space="preserve">1. </w:t>
            </w:r>
            <w:r w:rsidR="001F46AC" w:rsidRPr="001F46AC">
              <w:rPr>
                <w:color w:val="2F5496" w:themeColor="accent1" w:themeShade="BF"/>
              </w:rPr>
              <w:t>please explain on which basis shall Contracting authority decide to include or not section 5E in a contract?</w:t>
            </w:r>
          </w:p>
          <w:p w14:paraId="4FE6B7CD" w14:textId="77777777" w:rsidR="001F46AC" w:rsidRPr="001F46AC" w:rsidRDefault="001F46AC" w:rsidP="001F46AC">
            <w:pPr>
              <w:spacing w:line="240" w:lineRule="auto"/>
              <w:rPr>
                <w:color w:val="2F5496" w:themeColor="accent1" w:themeShade="BF"/>
              </w:rPr>
            </w:pPr>
          </w:p>
          <w:p w14:paraId="61262549" w14:textId="0246C2BA" w:rsidR="001F46AC" w:rsidRPr="001F46AC" w:rsidRDefault="00576994" w:rsidP="001F46AC">
            <w:pPr>
              <w:spacing w:line="240" w:lineRule="auto"/>
              <w:rPr>
                <w:color w:val="2F5496" w:themeColor="accent1" w:themeShade="BF"/>
              </w:rPr>
            </w:pPr>
            <w:r>
              <w:rPr>
                <w:color w:val="2F5496" w:themeColor="accent1" w:themeShade="BF"/>
              </w:rPr>
              <w:t xml:space="preserve">2. </w:t>
            </w:r>
            <w:r w:rsidR="001F46AC" w:rsidRPr="001F46AC">
              <w:rPr>
                <w:color w:val="2F5496" w:themeColor="accent1" w:themeShade="BF"/>
              </w:rPr>
              <w:t>section 5G if the of delivery is of an essence or not represent major difference therefor it would be good to be known to tenders before signing Frame agreement if this is going to be included in service agreement. Could Contracting Authority make this choice already now ad if not please provide us with the reason why not?</w:t>
            </w:r>
          </w:p>
          <w:p w14:paraId="0F715E5A" w14:textId="77777777" w:rsidR="001F46AC" w:rsidRPr="001F46AC" w:rsidRDefault="001F46AC" w:rsidP="001F46AC">
            <w:pPr>
              <w:spacing w:line="240" w:lineRule="auto"/>
              <w:rPr>
                <w:color w:val="2F5496" w:themeColor="accent1" w:themeShade="BF"/>
              </w:rPr>
            </w:pPr>
          </w:p>
          <w:p w14:paraId="0B3D6DB4" w14:textId="3989A217" w:rsidR="001F46AC" w:rsidRPr="001F46AC" w:rsidRDefault="00576994" w:rsidP="001F46AC">
            <w:pPr>
              <w:spacing w:line="240" w:lineRule="auto"/>
              <w:rPr>
                <w:color w:val="2F5496" w:themeColor="accent1" w:themeShade="BF"/>
              </w:rPr>
            </w:pPr>
            <w:r>
              <w:rPr>
                <w:color w:val="2F5496" w:themeColor="accent1" w:themeShade="BF"/>
              </w:rPr>
              <w:t xml:space="preserve">3. </w:t>
            </w:r>
            <w:r w:rsidR="001F46AC" w:rsidRPr="001F46AC">
              <w:rPr>
                <w:color w:val="2F5496" w:themeColor="accent1" w:themeShade="BF"/>
              </w:rPr>
              <w:t>section 6A – please confirm that 6 E does not apply to pre-existing IPR?</w:t>
            </w:r>
          </w:p>
          <w:p w14:paraId="4EA63F0C" w14:textId="77777777" w:rsidR="001F46AC" w:rsidRPr="001F46AC" w:rsidRDefault="001F46AC" w:rsidP="001F46AC">
            <w:pPr>
              <w:spacing w:line="240" w:lineRule="auto"/>
              <w:rPr>
                <w:color w:val="2F5496" w:themeColor="accent1" w:themeShade="BF"/>
              </w:rPr>
            </w:pPr>
          </w:p>
          <w:p w14:paraId="33BADB85" w14:textId="5ACD9316" w:rsidR="00F74CB9" w:rsidRPr="007F4174" w:rsidRDefault="001F46AC" w:rsidP="001F46AC">
            <w:pPr>
              <w:spacing w:line="240" w:lineRule="auto"/>
              <w:rPr>
                <w:color w:val="2F5496" w:themeColor="accent1" w:themeShade="BF"/>
              </w:rPr>
            </w:pPr>
            <w:r w:rsidRPr="001F46AC">
              <w:rPr>
                <w:color w:val="2F5496" w:themeColor="accent1" w:themeShade="BF"/>
              </w:rPr>
              <w:lastRenderedPageBreak/>
              <w:t>Frame agreement defines notice period in case of termination without cause. Service agreement does not. When is this period be defined and how can it differ form period in frame if it can?</w:t>
            </w:r>
          </w:p>
        </w:tc>
        <w:tc>
          <w:tcPr>
            <w:tcW w:w="4490" w:type="dxa"/>
            <w:gridSpan w:val="2"/>
          </w:tcPr>
          <w:p w14:paraId="2F21AF1A" w14:textId="77777777" w:rsidR="00576994" w:rsidRPr="00576994" w:rsidRDefault="00576994" w:rsidP="00576994">
            <w:pPr>
              <w:spacing w:line="240" w:lineRule="auto"/>
              <w:jc w:val="both"/>
              <w:rPr>
                <w:b/>
                <w:bCs/>
                <w:color w:val="2F5496" w:themeColor="accent1" w:themeShade="BF"/>
              </w:rPr>
            </w:pPr>
            <w:r w:rsidRPr="00576994">
              <w:rPr>
                <w:b/>
                <w:bCs/>
                <w:color w:val="2F5496" w:themeColor="accent1" w:themeShade="BF"/>
              </w:rPr>
              <w:lastRenderedPageBreak/>
              <w:t>1. 5E relates to liability limitation and would be included as standard in all call-off contracts. The value of that limitation will depend on the subject-matter of the contract in question.</w:t>
            </w:r>
          </w:p>
          <w:p w14:paraId="3A474A6B" w14:textId="77777777" w:rsidR="00576994" w:rsidRPr="00576994" w:rsidRDefault="00576994" w:rsidP="00576994">
            <w:pPr>
              <w:spacing w:line="240" w:lineRule="auto"/>
              <w:jc w:val="both"/>
              <w:rPr>
                <w:b/>
                <w:bCs/>
                <w:color w:val="2F5496" w:themeColor="accent1" w:themeShade="BF"/>
              </w:rPr>
            </w:pPr>
          </w:p>
          <w:p w14:paraId="5BFEB9C5" w14:textId="53490A59" w:rsidR="00576994" w:rsidRPr="00576994" w:rsidRDefault="001E3393" w:rsidP="00576994">
            <w:pPr>
              <w:spacing w:line="240" w:lineRule="auto"/>
              <w:jc w:val="both"/>
              <w:rPr>
                <w:b/>
                <w:bCs/>
                <w:color w:val="2F5496" w:themeColor="accent1" w:themeShade="BF"/>
              </w:rPr>
            </w:pPr>
            <w:r>
              <w:rPr>
                <w:b/>
                <w:bCs/>
                <w:color w:val="2F5496" w:themeColor="accent1" w:themeShade="BF"/>
              </w:rPr>
              <w:t xml:space="preserve">2. </w:t>
            </w:r>
            <w:r w:rsidR="00576994" w:rsidRPr="00576994">
              <w:rPr>
                <w:b/>
                <w:bCs/>
                <w:color w:val="2F5496" w:themeColor="accent1" w:themeShade="BF"/>
              </w:rPr>
              <w:t>The terms of the call-off contracts cannot be set at this time because they can be different depending upon the circumstances.</w:t>
            </w:r>
          </w:p>
          <w:p w14:paraId="56299EAB" w14:textId="77777777" w:rsidR="00576994" w:rsidRPr="00576994" w:rsidRDefault="00576994" w:rsidP="00576994">
            <w:pPr>
              <w:spacing w:line="240" w:lineRule="auto"/>
              <w:jc w:val="both"/>
              <w:rPr>
                <w:b/>
                <w:bCs/>
                <w:color w:val="2F5496" w:themeColor="accent1" w:themeShade="BF"/>
              </w:rPr>
            </w:pPr>
          </w:p>
          <w:p w14:paraId="15B8F9BD" w14:textId="04CA6937" w:rsidR="00576994" w:rsidRPr="00576994" w:rsidRDefault="00576994" w:rsidP="00576994">
            <w:pPr>
              <w:spacing w:line="240" w:lineRule="auto"/>
              <w:jc w:val="both"/>
              <w:rPr>
                <w:b/>
                <w:bCs/>
                <w:color w:val="2F5496" w:themeColor="accent1" w:themeShade="BF"/>
              </w:rPr>
            </w:pPr>
            <w:r>
              <w:rPr>
                <w:b/>
                <w:bCs/>
                <w:color w:val="2F5496" w:themeColor="accent1" w:themeShade="BF"/>
              </w:rPr>
              <w:t xml:space="preserve">3. </w:t>
            </w:r>
            <w:r w:rsidRPr="00576994">
              <w:rPr>
                <w:b/>
                <w:bCs/>
                <w:color w:val="2F5496" w:themeColor="accent1" w:themeShade="BF"/>
              </w:rPr>
              <w:t>Section 6E will apply to pre-existing IPR and means that the contractor will not charge the LGMA a licence fee or royalties or similar for any of the contractors IPR.</w:t>
            </w:r>
          </w:p>
          <w:p w14:paraId="7451858C" w14:textId="77777777" w:rsidR="00576994" w:rsidRPr="00576994" w:rsidRDefault="00576994" w:rsidP="00576994">
            <w:pPr>
              <w:spacing w:line="240" w:lineRule="auto"/>
              <w:jc w:val="both"/>
              <w:rPr>
                <w:b/>
                <w:bCs/>
                <w:color w:val="2F5496" w:themeColor="accent1" w:themeShade="BF"/>
              </w:rPr>
            </w:pPr>
          </w:p>
          <w:p w14:paraId="767D4D68" w14:textId="77777777" w:rsidR="00576994" w:rsidRPr="00576994" w:rsidRDefault="00576994" w:rsidP="00576994">
            <w:pPr>
              <w:spacing w:line="240" w:lineRule="auto"/>
              <w:jc w:val="both"/>
              <w:rPr>
                <w:b/>
                <w:bCs/>
                <w:color w:val="2F5496" w:themeColor="accent1" w:themeShade="BF"/>
              </w:rPr>
            </w:pPr>
            <w:r w:rsidRPr="00576994">
              <w:rPr>
                <w:b/>
                <w:bCs/>
                <w:color w:val="2F5496" w:themeColor="accent1" w:themeShade="BF"/>
              </w:rPr>
              <w:t xml:space="preserve">Section 9 of the call off contract deals with termination the timeframe for which will depend on the subject matter of the individual contract. Section 2.2 of the framework </w:t>
            </w:r>
            <w:r w:rsidRPr="00576994">
              <w:rPr>
                <w:b/>
                <w:bCs/>
                <w:color w:val="2F5496" w:themeColor="accent1" w:themeShade="BF"/>
              </w:rPr>
              <w:lastRenderedPageBreak/>
              <w:t>agreement states that call off contracts may extend beyond the end date of the framework agreement.  Section 8.6 of the framework agreement establishes that termination of the framework agreement shall not affect the validity of any contract concluded under it.</w:t>
            </w:r>
          </w:p>
          <w:p w14:paraId="2284422D" w14:textId="77777777" w:rsidR="00F74CB9" w:rsidRPr="009F0E48" w:rsidRDefault="00F74CB9" w:rsidP="009F0E48">
            <w:pPr>
              <w:spacing w:line="240" w:lineRule="auto"/>
              <w:jc w:val="both"/>
              <w:rPr>
                <w:b/>
                <w:bCs/>
                <w:color w:val="2F5496" w:themeColor="accent1" w:themeShade="BF"/>
              </w:rPr>
            </w:pPr>
          </w:p>
        </w:tc>
      </w:tr>
      <w:tr w:rsidR="00F74CB9" w:rsidRPr="007F4174" w14:paraId="6470FABF" w14:textId="77777777" w:rsidTr="07BFE459">
        <w:trPr>
          <w:gridAfter w:val="1"/>
          <w:wAfter w:w="12" w:type="dxa"/>
        </w:trPr>
        <w:tc>
          <w:tcPr>
            <w:tcW w:w="553" w:type="dxa"/>
          </w:tcPr>
          <w:p w14:paraId="3738D73C" w14:textId="77777777" w:rsidR="00F74CB9" w:rsidRPr="008A23C1" w:rsidRDefault="00F74CB9" w:rsidP="00094F5B">
            <w:pPr>
              <w:rPr>
                <w:rFonts w:ascii="Brother 1816 Light" w:hAnsi="Brother 1816 Light"/>
                <w:b/>
                <w:bCs/>
                <w:color w:val="2F5496" w:themeColor="accent1" w:themeShade="BF"/>
                <w:sz w:val="21"/>
                <w:szCs w:val="21"/>
                <w:shd w:val="clear" w:color="auto" w:fill="FFFFFF"/>
              </w:rPr>
            </w:pPr>
          </w:p>
        </w:tc>
        <w:tc>
          <w:tcPr>
            <w:tcW w:w="3818" w:type="dxa"/>
          </w:tcPr>
          <w:p w14:paraId="1AA5EB67" w14:textId="77777777" w:rsidR="00F74CB9" w:rsidRPr="007F4174" w:rsidRDefault="00F74CB9" w:rsidP="000D1C3C">
            <w:pPr>
              <w:spacing w:line="240" w:lineRule="auto"/>
              <w:rPr>
                <w:color w:val="2F5496" w:themeColor="accent1" w:themeShade="BF"/>
              </w:rPr>
            </w:pPr>
          </w:p>
        </w:tc>
        <w:tc>
          <w:tcPr>
            <w:tcW w:w="4490" w:type="dxa"/>
            <w:gridSpan w:val="2"/>
          </w:tcPr>
          <w:p w14:paraId="6A449765" w14:textId="77777777" w:rsidR="00F74CB9" w:rsidRPr="009F0E48" w:rsidRDefault="00F74CB9" w:rsidP="009F0E48">
            <w:pPr>
              <w:spacing w:line="240" w:lineRule="auto"/>
              <w:jc w:val="both"/>
              <w:rPr>
                <w:b/>
                <w:bCs/>
                <w:color w:val="2F5496" w:themeColor="accent1" w:themeShade="BF"/>
              </w:rPr>
            </w:pPr>
          </w:p>
        </w:tc>
      </w:tr>
      <w:bookmarkEnd w:id="0"/>
    </w:tbl>
    <w:p w14:paraId="2A0D5F53" w14:textId="3DD6E053" w:rsidR="004265DD" w:rsidRPr="007F4174" w:rsidRDefault="004265DD">
      <w:pPr>
        <w:spacing w:line="240" w:lineRule="auto"/>
        <w:rPr>
          <w:rFonts w:ascii="Brother 1816 Light" w:eastAsia="Times New Roman" w:hAnsi="Brother 1816 Light" w:cs="Helvetica"/>
          <w:b/>
          <w:bCs/>
          <w:color w:val="2F5496" w:themeColor="accent1" w:themeShade="BF"/>
          <w:sz w:val="21"/>
          <w:szCs w:val="21"/>
          <w:shd w:val="clear" w:color="auto" w:fill="FFFFFF"/>
          <w:lang w:eastAsia="en-IE"/>
        </w:rPr>
      </w:pPr>
    </w:p>
    <w:sectPr w:rsidR="004265DD" w:rsidRPr="007F4174" w:rsidSect="00B46670">
      <w:head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5876" w14:textId="77777777" w:rsidR="00AB4DE2" w:rsidRDefault="00AB4DE2" w:rsidP="004C01E8">
      <w:pPr>
        <w:spacing w:after="0" w:line="240" w:lineRule="auto"/>
      </w:pPr>
      <w:r>
        <w:separator/>
      </w:r>
    </w:p>
  </w:endnote>
  <w:endnote w:type="continuationSeparator" w:id="0">
    <w:p w14:paraId="70A73A7A" w14:textId="77777777" w:rsidR="00AB4DE2" w:rsidRDefault="00AB4DE2" w:rsidP="004C01E8">
      <w:pPr>
        <w:spacing w:after="0" w:line="240" w:lineRule="auto"/>
      </w:pPr>
      <w:r>
        <w:continuationSeparator/>
      </w:r>
    </w:p>
  </w:endnote>
  <w:endnote w:type="continuationNotice" w:id="1">
    <w:p w14:paraId="46783904" w14:textId="77777777" w:rsidR="00AB4DE2" w:rsidRDefault="00AB4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ther 1816 Light">
    <w:altName w:val="Calibri"/>
    <w:panose1 w:val="00000000000000000000"/>
    <w:charset w:val="00"/>
    <w:family w:val="modern"/>
    <w:notTrueType/>
    <w:pitch w:val="variable"/>
    <w:sig w:usb0="A00000EF" w:usb1="1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ther 1816 Regular">
    <w:altName w:val="Calibri"/>
    <w:panose1 w:val="00000000000000000000"/>
    <w:charset w:val="00"/>
    <w:family w:val="modern"/>
    <w:notTrueType/>
    <w:pitch w:val="variable"/>
    <w:sig w:usb0="A00000EF" w:usb1="1000005B" w:usb2="00000000" w:usb3="00000000" w:csb0="00000093"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9F16" w14:textId="77777777" w:rsidR="00AB4DE2" w:rsidRDefault="00AB4DE2" w:rsidP="004C01E8">
      <w:pPr>
        <w:spacing w:after="0" w:line="240" w:lineRule="auto"/>
      </w:pPr>
      <w:r>
        <w:separator/>
      </w:r>
    </w:p>
  </w:footnote>
  <w:footnote w:type="continuationSeparator" w:id="0">
    <w:p w14:paraId="466BD00F" w14:textId="77777777" w:rsidR="00AB4DE2" w:rsidRDefault="00AB4DE2" w:rsidP="004C01E8">
      <w:pPr>
        <w:spacing w:after="0" w:line="240" w:lineRule="auto"/>
      </w:pPr>
      <w:r>
        <w:continuationSeparator/>
      </w:r>
    </w:p>
  </w:footnote>
  <w:footnote w:type="continuationNotice" w:id="1">
    <w:p w14:paraId="422F7A28" w14:textId="77777777" w:rsidR="00AB4DE2" w:rsidRDefault="00AB4D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FF5D" w14:textId="0097A222" w:rsidR="00BB7E24" w:rsidRDefault="00CC62D4" w:rsidP="00CC62D4">
    <w:pPr>
      <w:pStyle w:val="Header"/>
      <w:ind w:left="-284"/>
    </w:pPr>
    <w:r>
      <w:rPr>
        <w:noProof/>
      </w:rPr>
      <w:drawing>
        <wp:inline distT="0" distB="0" distL="0" distR="0" wp14:anchorId="7EAE6586" wp14:editId="0CA335B7">
          <wp:extent cx="1238885" cy="801994"/>
          <wp:effectExtent l="0" t="0" r="0" b="0"/>
          <wp:docPr id="146438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87270" name="Picture 1464387270"/>
                  <pic:cNvPicPr/>
                </pic:nvPicPr>
                <pic:blipFill>
                  <a:blip r:embed="rId1">
                    <a:extLst>
                      <a:ext uri="{28A0092B-C50C-407E-A947-70E740481C1C}">
                        <a14:useLocalDpi xmlns:a14="http://schemas.microsoft.com/office/drawing/2010/main" val="0"/>
                      </a:ext>
                    </a:extLst>
                  </a:blip>
                  <a:stretch>
                    <a:fillRect/>
                  </a:stretch>
                </pic:blipFill>
                <pic:spPr>
                  <a:xfrm>
                    <a:off x="0" y="0"/>
                    <a:ext cx="1258197" cy="814496"/>
                  </a:xfrm>
                  <a:prstGeom prst="rect">
                    <a:avLst/>
                  </a:prstGeom>
                </pic:spPr>
              </pic:pic>
            </a:graphicData>
          </a:graphic>
        </wp:inline>
      </w:drawing>
    </w:r>
  </w:p>
  <w:p w14:paraId="45A97982" w14:textId="07535D59" w:rsidR="00BB7E24" w:rsidRPr="007D71A1" w:rsidRDefault="00CC62D4" w:rsidP="007D71A1">
    <w:pPr>
      <w:pStyle w:val="Header"/>
      <w:jc w:val="center"/>
      <w:rPr>
        <w:b/>
        <w:bCs/>
        <w:color w:val="31728F"/>
        <w:sz w:val="40"/>
        <w:szCs w:val="40"/>
      </w:rPr>
    </w:pPr>
    <w:r>
      <w:rPr>
        <w:b/>
        <w:bCs/>
        <w:color w:val="31728F"/>
        <w:sz w:val="40"/>
        <w:szCs w:val="40"/>
      </w:rPr>
      <w:t>&lt;RFT/RFQ ID</w:t>
    </w:r>
    <w:r w:rsidR="00262C9F">
      <w:rPr>
        <w:b/>
        <w:bCs/>
        <w:color w:val="31728F"/>
        <w:sz w:val="40"/>
        <w:szCs w:val="40"/>
      </w:rPr>
      <w:t>-</w:t>
    </w:r>
    <w:r w:rsidR="00262C9F" w:rsidRPr="00262C9F">
      <w:rPr>
        <w:b/>
        <w:bCs/>
        <w:color w:val="31728F"/>
        <w:sz w:val="40"/>
        <w:szCs w:val="40"/>
      </w:rPr>
      <w:t>LGICT260006</w:t>
    </w:r>
    <w:r>
      <w:rPr>
        <w:b/>
        <w:bCs/>
        <w:color w:val="31728F"/>
        <w:sz w:val="40"/>
        <w:szCs w:val="40"/>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DD5"/>
    <w:multiLevelType w:val="multilevel"/>
    <w:tmpl w:val="AF04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05DDC"/>
    <w:multiLevelType w:val="hybridMultilevel"/>
    <w:tmpl w:val="2AC08F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4F6DAB"/>
    <w:multiLevelType w:val="multilevel"/>
    <w:tmpl w:val="14E05D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791E63"/>
    <w:multiLevelType w:val="multilevel"/>
    <w:tmpl w:val="E0C228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ECD0A4B"/>
    <w:multiLevelType w:val="hybridMultilevel"/>
    <w:tmpl w:val="26748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9042EF"/>
    <w:multiLevelType w:val="hybridMultilevel"/>
    <w:tmpl w:val="0A20DE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CD7D53"/>
    <w:multiLevelType w:val="hybridMultilevel"/>
    <w:tmpl w:val="BE820572"/>
    <w:lvl w:ilvl="0" w:tplc="D5164202">
      <w:start w:val="1"/>
      <w:numFmt w:val="lowerRoman"/>
      <w:lvlText w:val="%1."/>
      <w:lvlJc w:val="left"/>
      <w:pPr>
        <w:ind w:left="1080" w:hanging="720"/>
      </w:pPr>
      <w:rPr>
        <w:rFonts w:asciiTheme="minorHAnsi" w:hAnsiTheme="minorHAnsi" w:hint="default"/>
        <w:color w:val="00206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8C19EA"/>
    <w:multiLevelType w:val="hybridMultilevel"/>
    <w:tmpl w:val="84CE5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702230"/>
    <w:multiLevelType w:val="multilevel"/>
    <w:tmpl w:val="CBC498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E265F"/>
    <w:multiLevelType w:val="hybridMultilevel"/>
    <w:tmpl w:val="810C0D50"/>
    <w:lvl w:ilvl="0" w:tplc="18090001">
      <w:start w:val="1"/>
      <w:numFmt w:val="bullet"/>
      <w:lvlText w:val=""/>
      <w:lvlJc w:val="left"/>
      <w:pPr>
        <w:ind w:left="2874" w:hanging="360"/>
      </w:pPr>
      <w:rPr>
        <w:rFonts w:ascii="Symbol" w:hAnsi="Symbol" w:hint="default"/>
      </w:rPr>
    </w:lvl>
    <w:lvl w:ilvl="1" w:tplc="18090003">
      <w:start w:val="1"/>
      <w:numFmt w:val="bullet"/>
      <w:lvlText w:val="o"/>
      <w:lvlJc w:val="left"/>
      <w:pPr>
        <w:ind w:left="3594" w:hanging="360"/>
      </w:pPr>
      <w:rPr>
        <w:rFonts w:ascii="Courier New" w:hAnsi="Courier New" w:cs="Courier New" w:hint="default"/>
      </w:rPr>
    </w:lvl>
    <w:lvl w:ilvl="2" w:tplc="18090005">
      <w:start w:val="1"/>
      <w:numFmt w:val="bullet"/>
      <w:lvlText w:val=""/>
      <w:lvlJc w:val="left"/>
      <w:pPr>
        <w:ind w:left="4314" w:hanging="360"/>
      </w:pPr>
      <w:rPr>
        <w:rFonts w:ascii="Wingdings" w:hAnsi="Wingdings" w:hint="default"/>
      </w:rPr>
    </w:lvl>
    <w:lvl w:ilvl="3" w:tplc="18090001">
      <w:start w:val="1"/>
      <w:numFmt w:val="bullet"/>
      <w:lvlText w:val=""/>
      <w:lvlJc w:val="left"/>
      <w:pPr>
        <w:ind w:left="5034" w:hanging="360"/>
      </w:pPr>
      <w:rPr>
        <w:rFonts w:ascii="Symbol" w:hAnsi="Symbol" w:hint="default"/>
      </w:rPr>
    </w:lvl>
    <w:lvl w:ilvl="4" w:tplc="18090003">
      <w:start w:val="1"/>
      <w:numFmt w:val="bullet"/>
      <w:lvlText w:val="o"/>
      <w:lvlJc w:val="left"/>
      <w:pPr>
        <w:ind w:left="5754" w:hanging="360"/>
      </w:pPr>
      <w:rPr>
        <w:rFonts w:ascii="Courier New" w:hAnsi="Courier New" w:cs="Courier New" w:hint="default"/>
      </w:rPr>
    </w:lvl>
    <w:lvl w:ilvl="5" w:tplc="18090005">
      <w:start w:val="1"/>
      <w:numFmt w:val="bullet"/>
      <w:lvlText w:val=""/>
      <w:lvlJc w:val="left"/>
      <w:pPr>
        <w:ind w:left="6474" w:hanging="360"/>
      </w:pPr>
      <w:rPr>
        <w:rFonts w:ascii="Wingdings" w:hAnsi="Wingdings" w:hint="default"/>
      </w:rPr>
    </w:lvl>
    <w:lvl w:ilvl="6" w:tplc="18090001">
      <w:start w:val="1"/>
      <w:numFmt w:val="bullet"/>
      <w:lvlText w:val=""/>
      <w:lvlJc w:val="left"/>
      <w:pPr>
        <w:ind w:left="7194" w:hanging="360"/>
      </w:pPr>
      <w:rPr>
        <w:rFonts w:ascii="Symbol" w:hAnsi="Symbol" w:hint="default"/>
      </w:rPr>
    </w:lvl>
    <w:lvl w:ilvl="7" w:tplc="18090003">
      <w:start w:val="1"/>
      <w:numFmt w:val="bullet"/>
      <w:lvlText w:val="o"/>
      <w:lvlJc w:val="left"/>
      <w:pPr>
        <w:ind w:left="7914" w:hanging="360"/>
      </w:pPr>
      <w:rPr>
        <w:rFonts w:ascii="Courier New" w:hAnsi="Courier New" w:cs="Courier New" w:hint="default"/>
      </w:rPr>
    </w:lvl>
    <w:lvl w:ilvl="8" w:tplc="18090005">
      <w:start w:val="1"/>
      <w:numFmt w:val="bullet"/>
      <w:lvlText w:val=""/>
      <w:lvlJc w:val="left"/>
      <w:pPr>
        <w:ind w:left="8634" w:hanging="360"/>
      </w:pPr>
      <w:rPr>
        <w:rFonts w:ascii="Wingdings" w:hAnsi="Wingdings" w:hint="default"/>
      </w:rPr>
    </w:lvl>
  </w:abstractNum>
  <w:abstractNum w:abstractNumId="10" w15:restartNumberingAfterBreak="0">
    <w:nsid w:val="1DF211CD"/>
    <w:multiLevelType w:val="hybridMultilevel"/>
    <w:tmpl w:val="6C1E1858"/>
    <w:lvl w:ilvl="0" w:tplc="1809000F">
      <w:start w:val="1"/>
      <w:numFmt w:val="decimal"/>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C93204"/>
    <w:multiLevelType w:val="hybridMultilevel"/>
    <w:tmpl w:val="EC668D9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0E4036F"/>
    <w:multiLevelType w:val="hybridMultilevel"/>
    <w:tmpl w:val="CD3E5C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D059CA"/>
    <w:multiLevelType w:val="hybridMultilevel"/>
    <w:tmpl w:val="09381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AD0ECF"/>
    <w:multiLevelType w:val="hybridMultilevel"/>
    <w:tmpl w:val="13D88E36"/>
    <w:lvl w:ilvl="0" w:tplc="7BC6010A">
      <w:start w:val="1"/>
      <w:numFmt w:val="upperRoman"/>
      <w:lvlText w:val="%1."/>
      <w:lvlJc w:val="left"/>
      <w:pPr>
        <w:ind w:left="1080" w:hanging="720"/>
      </w:pPr>
      <w:rPr>
        <w:rFonts w:asciiTheme="minorHAnsi" w:hAnsiTheme="minorHAnsi" w:hint="default"/>
        <w:color w:val="00206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4B1BF3"/>
    <w:multiLevelType w:val="hybridMultilevel"/>
    <w:tmpl w:val="6BC02800"/>
    <w:lvl w:ilvl="0" w:tplc="699C1936">
      <w:start w:val="1"/>
      <w:numFmt w:val="decimal"/>
      <w:lvlText w:val="%1."/>
      <w:lvlJc w:val="left"/>
      <w:pPr>
        <w:ind w:left="765" w:hanging="360"/>
      </w:pPr>
      <w:rPr>
        <w:rFonts w:hint="default"/>
      </w:r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6" w15:restartNumberingAfterBreak="0">
    <w:nsid w:val="2EDA269B"/>
    <w:multiLevelType w:val="hybridMultilevel"/>
    <w:tmpl w:val="922E5C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8528AB"/>
    <w:multiLevelType w:val="hybridMultilevel"/>
    <w:tmpl w:val="E74E6118"/>
    <w:lvl w:ilvl="0" w:tplc="3E383E9A">
      <w:numFmt w:val="bullet"/>
      <w:lvlText w:val=""/>
      <w:lvlJc w:val="left"/>
      <w:pPr>
        <w:ind w:left="720" w:hanging="360"/>
      </w:pPr>
      <w:rPr>
        <w:rFonts w:ascii="Brother 1816 Light" w:eastAsia="Times New Roman" w:hAnsi="Brother 1816 Light"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0B024A"/>
    <w:multiLevelType w:val="multilevel"/>
    <w:tmpl w:val="0EC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948E0"/>
    <w:multiLevelType w:val="hybridMultilevel"/>
    <w:tmpl w:val="F8BE5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105502"/>
    <w:multiLevelType w:val="hybridMultilevel"/>
    <w:tmpl w:val="08C6D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D2F7327"/>
    <w:multiLevelType w:val="multilevel"/>
    <w:tmpl w:val="A5588FE4"/>
    <w:lvl w:ilvl="0">
      <w:start w:val="1"/>
      <w:numFmt w:val="bullet"/>
      <w:lvlText w:val=""/>
      <w:lvlJc w:val="left"/>
      <w:pPr>
        <w:tabs>
          <w:tab w:val="num" w:pos="720"/>
        </w:tabs>
        <w:ind w:left="720" w:hanging="360"/>
      </w:pPr>
      <w:rPr>
        <w:rFonts w:ascii="Symbol" w:hAnsi="Symbol" w:hint="default"/>
        <w:color w:val="3FBEB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F56BFB"/>
    <w:multiLevelType w:val="hybridMultilevel"/>
    <w:tmpl w:val="97FE5C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0F65561"/>
    <w:multiLevelType w:val="hybridMultilevel"/>
    <w:tmpl w:val="A5A64BE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FB3218"/>
    <w:multiLevelType w:val="multilevel"/>
    <w:tmpl w:val="EFE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25509"/>
    <w:multiLevelType w:val="hybridMultilevel"/>
    <w:tmpl w:val="6BEE2568"/>
    <w:lvl w:ilvl="0" w:tplc="BD88836C">
      <w:start w:val="1"/>
      <w:numFmt w:val="decimal"/>
      <w:lvlText w:val="%1."/>
      <w:lvlJc w:val="left"/>
      <w:pPr>
        <w:ind w:left="720" w:hanging="360"/>
      </w:pPr>
      <w:rPr>
        <w:rFonts w:ascii="Brother 1816 Light" w:eastAsia="Times New Roman" w:hAnsi="Brother 1816 Light"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6087019"/>
    <w:multiLevelType w:val="multilevel"/>
    <w:tmpl w:val="8670D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B53F31"/>
    <w:multiLevelType w:val="hybridMultilevel"/>
    <w:tmpl w:val="11A097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BF654B3"/>
    <w:multiLevelType w:val="hybridMultilevel"/>
    <w:tmpl w:val="F1A26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74811"/>
    <w:multiLevelType w:val="hybridMultilevel"/>
    <w:tmpl w:val="15CE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A595B98"/>
    <w:multiLevelType w:val="hybridMultilevel"/>
    <w:tmpl w:val="583417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C155A50"/>
    <w:multiLevelType w:val="hybridMultilevel"/>
    <w:tmpl w:val="F59AA280"/>
    <w:lvl w:ilvl="0" w:tplc="72464128">
      <w:start w:val="1"/>
      <w:numFmt w:val="upperRoman"/>
      <w:lvlText w:val="%1."/>
      <w:lvlJc w:val="left"/>
      <w:pPr>
        <w:ind w:left="1080" w:hanging="720"/>
      </w:pPr>
      <w:rPr>
        <w:rFonts w:asciiTheme="minorHAnsi" w:hAnsiTheme="minorHAnsi" w:hint="default"/>
        <w:color w:val="00206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E0653D8"/>
    <w:multiLevelType w:val="hybridMultilevel"/>
    <w:tmpl w:val="96C0D7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7F56FF6"/>
    <w:multiLevelType w:val="hybridMultilevel"/>
    <w:tmpl w:val="D3D887F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C64D5A"/>
    <w:multiLevelType w:val="multilevel"/>
    <w:tmpl w:val="CBC498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44B06"/>
    <w:multiLevelType w:val="multilevel"/>
    <w:tmpl w:val="C1AC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B66B18"/>
    <w:multiLevelType w:val="hybridMultilevel"/>
    <w:tmpl w:val="874AB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23A769D"/>
    <w:multiLevelType w:val="multilevel"/>
    <w:tmpl w:val="80EE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D7BB4"/>
    <w:multiLevelType w:val="multilevel"/>
    <w:tmpl w:val="F5EE3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A6B2805"/>
    <w:multiLevelType w:val="multilevel"/>
    <w:tmpl w:val="21A65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886665"/>
    <w:multiLevelType w:val="hybridMultilevel"/>
    <w:tmpl w:val="15C45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54658389">
    <w:abstractNumId w:val="35"/>
  </w:num>
  <w:num w:numId="2" w16cid:durableId="1639795875">
    <w:abstractNumId w:val="20"/>
  </w:num>
  <w:num w:numId="3" w16cid:durableId="490561304">
    <w:abstractNumId w:val="19"/>
  </w:num>
  <w:num w:numId="4" w16cid:durableId="2031367125">
    <w:abstractNumId w:val="4"/>
  </w:num>
  <w:num w:numId="5" w16cid:durableId="1791053695">
    <w:abstractNumId w:val="5"/>
  </w:num>
  <w:num w:numId="6" w16cid:durableId="1909146830">
    <w:abstractNumId w:val="16"/>
  </w:num>
  <w:num w:numId="7" w16cid:durableId="2001614132">
    <w:abstractNumId w:val="22"/>
  </w:num>
  <w:num w:numId="8" w16cid:durableId="607392142">
    <w:abstractNumId w:val="37"/>
  </w:num>
  <w:num w:numId="9" w16cid:durableId="1636983932">
    <w:abstractNumId w:val="40"/>
  </w:num>
  <w:num w:numId="10" w16cid:durableId="1154374269">
    <w:abstractNumId w:val="28"/>
  </w:num>
  <w:num w:numId="11" w16cid:durableId="1574437702">
    <w:abstractNumId w:val="13"/>
  </w:num>
  <w:num w:numId="12" w16cid:durableId="224993126">
    <w:abstractNumId w:val="7"/>
  </w:num>
  <w:num w:numId="13" w16cid:durableId="782966298">
    <w:abstractNumId w:val="24"/>
  </w:num>
  <w:num w:numId="14" w16cid:durableId="414862273">
    <w:abstractNumId w:val="0"/>
  </w:num>
  <w:num w:numId="15" w16cid:durableId="804273431">
    <w:abstractNumId w:val="2"/>
  </w:num>
  <w:num w:numId="16" w16cid:durableId="1466965591">
    <w:abstractNumId w:val="39"/>
  </w:num>
  <w:num w:numId="17" w16cid:durableId="700132315">
    <w:abstractNumId w:val="27"/>
  </w:num>
  <w:num w:numId="18" w16cid:durableId="922107492">
    <w:abstractNumId w:val="30"/>
  </w:num>
  <w:num w:numId="19" w16cid:durableId="1062026173">
    <w:abstractNumId w:val="34"/>
  </w:num>
  <w:num w:numId="20" w16cid:durableId="172846900">
    <w:abstractNumId w:val="36"/>
  </w:num>
  <w:num w:numId="21" w16cid:durableId="93018021">
    <w:abstractNumId w:val="8"/>
  </w:num>
  <w:num w:numId="22" w16cid:durableId="14160526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7665943">
    <w:abstractNumId w:val="9"/>
  </w:num>
  <w:num w:numId="24" w16cid:durableId="932131510">
    <w:abstractNumId w:val="3"/>
  </w:num>
  <w:num w:numId="25" w16cid:durableId="125590028">
    <w:abstractNumId w:val="26"/>
  </w:num>
  <w:num w:numId="26" w16cid:durableId="1195195574">
    <w:abstractNumId w:val="21"/>
  </w:num>
  <w:num w:numId="27" w16cid:durableId="1260333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7736327">
    <w:abstractNumId w:val="11"/>
  </w:num>
  <w:num w:numId="29" w16cid:durableId="1865442532">
    <w:abstractNumId w:val="32"/>
  </w:num>
  <w:num w:numId="30" w16cid:durableId="1894122396">
    <w:abstractNumId w:val="17"/>
  </w:num>
  <w:num w:numId="31" w16cid:durableId="32006834">
    <w:abstractNumId w:val="12"/>
  </w:num>
  <w:num w:numId="32" w16cid:durableId="65418090">
    <w:abstractNumId w:val="15"/>
  </w:num>
  <w:num w:numId="33" w16cid:durableId="1301417172">
    <w:abstractNumId w:val="29"/>
  </w:num>
  <w:num w:numId="34" w16cid:durableId="733695376">
    <w:abstractNumId w:val="23"/>
  </w:num>
  <w:num w:numId="35" w16cid:durableId="1882552126">
    <w:abstractNumId w:val="33"/>
  </w:num>
  <w:num w:numId="36" w16cid:durableId="1649283084">
    <w:abstractNumId w:val="25"/>
  </w:num>
  <w:num w:numId="37" w16cid:durableId="156114970">
    <w:abstractNumId w:val="10"/>
  </w:num>
  <w:num w:numId="38" w16cid:durableId="2138406148">
    <w:abstractNumId w:val="18"/>
  </w:num>
  <w:num w:numId="39" w16cid:durableId="1137800298">
    <w:abstractNumId w:val="6"/>
  </w:num>
  <w:num w:numId="40" w16cid:durableId="783698096">
    <w:abstractNumId w:val="14"/>
  </w:num>
  <w:num w:numId="41" w16cid:durableId="1129780062">
    <w:abstractNumId w:val="31"/>
  </w:num>
  <w:num w:numId="42" w16cid:durableId="1799566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54"/>
    <w:rsid w:val="00000B63"/>
    <w:rsid w:val="000016A5"/>
    <w:rsid w:val="00005897"/>
    <w:rsid w:val="00013B3C"/>
    <w:rsid w:val="00014C9E"/>
    <w:rsid w:val="00020DEE"/>
    <w:rsid w:val="00032F97"/>
    <w:rsid w:val="00033DCA"/>
    <w:rsid w:val="000363F3"/>
    <w:rsid w:val="000373CB"/>
    <w:rsid w:val="00053A09"/>
    <w:rsid w:val="00060791"/>
    <w:rsid w:val="000620CF"/>
    <w:rsid w:val="00065CBC"/>
    <w:rsid w:val="00066AE6"/>
    <w:rsid w:val="00075C5D"/>
    <w:rsid w:val="000768CF"/>
    <w:rsid w:val="0008551C"/>
    <w:rsid w:val="000868B2"/>
    <w:rsid w:val="000873D6"/>
    <w:rsid w:val="00087A03"/>
    <w:rsid w:val="0009080E"/>
    <w:rsid w:val="00093598"/>
    <w:rsid w:val="00094F5B"/>
    <w:rsid w:val="00096FEF"/>
    <w:rsid w:val="000A0609"/>
    <w:rsid w:val="000A24BF"/>
    <w:rsid w:val="000A45DB"/>
    <w:rsid w:val="000A4714"/>
    <w:rsid w:val="000C0D63"/>
    <w:rsid w:val="000C3C53"/>
    <w:rsid w:val="000C58B9"/>
    <w:rsid w:val="000C6FC6"/>
    <w:rsid w:val="000D00DA"/>
    <w:rsid w:val="000D11EA"/>
    <w:rsid w:val="000D1C3C"/>
    <w:rsid w:val="000D4FE5"/>
    <w:rsid w:val="000F2360"/>
    <w:rsid w:val="000F7ACA"/>
    <w:rsid w:val="001164BD"/>
    <w:rsid w:val="00120FCE"/>
    <w:rsid w:val="0012409F"/>
    <w:rsid w:val="00126715"/>
    <w:rsid w:val="0012731B"/>
    <w:rsid w:val="00131721"/>
    <w:rsid w:val="00136631"/>
    <w:rsid w:val="001374F9"/>
    <w:rsid w:val="00147D79"/>
    <w:rsid w:val="00150E7F"/>
    <w:rsid w:val="00150F78"/>
    <w:rsid w:val="00151BF2"/>
    <w:rsid w:val="001552CF"/>
    <w:rsid w:val="00161484"/>
    <w:rsid w:val="00162193"/>
    <w:rsid w:val="00167579"/>
    <w:rsid w:val="00174A67"/>
    <w:rsid w:val="00180CFE"/>
    <w:rsid w:val="001916D6"/>
    <w:rsid w:val="00195675"/>
    <w:rsid w:val="001B4350"/>
    <w:rsid w:val="001B72A7"/>
    <w:rsid w:val="001C5521"/>
    <w:rsid w:val="001C5B4B"/>
    <w:rsid w:val="001C612C"/>
    <w:rsid w:val="001C7DB1"/>
    <w:rsid w:val="001D3A1C"/>
    <w:rsid w:val="001E182F"/>
    <w:rsid w:val="001E1E61"/>
    <w:rsid w:val="001E3393"/>
    <w:rsid w:val="001E399D"/>
    <w:rsid w:val="001F1600"/>
    <w:rsid w:val="001F46AC"/>
    <w:rsid w:val="001F7118"/>
    <w:rsid w:val="00202474"/>
    <w:rsid w:val="002141F3"/>
    <w:rsid w:val="002155B1"/>
    <w:rsid w:val="00221127"/>
    <w:rsid w:val="0023011C"/>
    <w:rsid w:val="0023161E"/>
    <w:rsid w:val="00242FF6"/>
    <w:rsid w:val="002501CB"/>
    <w:rsid w:val="00251000"/>
    <w:rsid w:val="00255D6B"/>
    <w:rsid w:val="00256AAC"/>
    <w:rsid w:val="00260B20"/>
    <w:rsid w:val="00262C9F"/>
    <w:rsid w:val="0026673A"/>
    <w:rsid w:val="002739AC"/>
    <w:rsid w:val="0027762F"/>
    <w:rsid w:val="00280183"/>
    <w:rsid w:val="0028059D"/>
    <w:rsid w:val="00284D04"/>
    <w:rsid w:val="0028641F"/>
    <w:rsid w:val="0029214C"/>
    <w:rsid w:val="00295B54"/>
    <w:rsid w:val="00297F14"/>
    <w:rsid w:val="002A2912"/>
    <w:rsid w:val="002A3507"/>
    <w:rsid w:val="002A4B39"/>
    <w:rsid w:val="002A771A"/>
    <w:rsid w:val="002C336D"/>
    <w:rsid w:val="002D0929"/>
    <w:rsid w:val="002D49FF"/>
    <w:rsid w:val="002E13E0"/>
    <w:rsid w:val="002E2F1F"/>
    <w:rsid w:val="002E549E"/>
    <w:rsid w:val="002E59CC"/>
    <w:rsid w:val="002E5E96"/>
    <w:rsid w:val="002F0614"/>
    <w:rsid w:val="002F4C8E"/>
    <w:rsid w:val="002F6CB7"/>
    <w:rsid w:val="002F7264"/>
    <w:rsid w:val="00311909"/>
    <w:rsid w:val="00314BDC"/>
    <w:rsid w:val="00321CCB"/>
    <w:rsid w:val="0032253B"/>
    <w:rsid w:val="003241F9"/>
    <w:rsid w:val="00333687"/>
    <w:rsid w:val="00336EDF"/>
    <w:rsid w:val="00336F7D"/>
    <w:rsid w:val="00343074"/>
    <w:rsid w:val="003453A8"/>
    <w:rsid w:val="00350258"/>
    <w:rsid w:val="00352D9E"/>
    <w:rsid w:val="00352E1C"/>
    <w:rsid w:val="003547CA"/>
    <w:rsid w:val="003655F0"/>
    <w:rsid w:val="00365AA1"/>
    <w:rsid w:val="00367796"/>
    <w:rsid w:val="003708EB"/>
    <w:rsid w:val="003806B8"/>
    <w:rsid w:val="003831B9"/>
    <w:rsid w:val="00387904"/>
    <w:rsid w:val="00394680"/>
    <w:rsid w:val="003A0D4F"/>
    <w:rsid w:val="003C5161"/>
    <w:rsid w:val="003C725C"/>
    <w:rsid w:val="003C779F"/>
    <w:rsid w:val="003D20C6"/>
    <w:rsid w:val="003D481D"/>
    <w:rsid w:val="003D7885"/>
    <w:rsid w:val="003E2FF5"/>
    <w:rsid w:val="003E575B"/>
    <w:rsid w:val="003F3DAB"/>
    <w:rsid w:val="00401B52"/>
    <w:rsid w:val="0040228E"/>
    <w:rsid w:val="00404759"/>
    <w:rsid w:val="00412AF2"/>
    <w:rsid w:val="004157E5"/>
    <w:rsid w:val="00416600"/>
    <w:rsid w:val="00420591"/>
    <w:rsid w:val="00425D9B"/>
    <w:rsid w:val="004265DD"/>
    <w:rsid w:val="0042710B"/>
    <w:rsid w:val="004278E9"/>
    <w:rsid w:val="00455B57"/>
    <w:rsid w:val="00456E47"/>
    <w:rsid w:val="00470359"/>
    <w:rsid w:val="00471D26"/>
    <w:rsid w:val="0047348D"/>
    <w:rsid w:val="004748FC"/>
    <w:rsid w:val="004823CE"/>
    <w:rsid w:val="00485A1E"/>
    <w:rsid w:val="00491A92"/>
    <w:rsid w:val="00492C28"/>
    <w:rsid w:val="00496920"/>
    <w:rsid w:val="004A004C"/>
    <w:rsid w:val="004A04B6"/>
    <w:rsid w:val="004A1C38"/>
    <w:rsid w:val="004A398F"/>
    <w:rsid w:val="004B3559"/>
    <w:rsid w:val="004C01E8"/>
    <w:rsid w:val="004C2FFA"/>
    <w:rsid w:val="004C3B83"/>
    <w:rsid w:val="004C5158"/>
    <w:rsid w:val="004D29DB"/>
    <w:rsid w:val="004D6127"/>
    <w:rsid w:val="004D7339"/>
    <w:rsid w:val="004E1866"/>
    <w:rsid w:val="004F52DA"/>
    <w:rsid w:val="0052431F"/>
    <w:rsid w:val="005264AC"/>
    <w:rsid w:val="0053635C"/>
    <w:rsid w:val="00543067"/>
    <w:rsid w:val="005442A4"/>
    <w:rsid w:val="0055736B"/>
    <w:rsid w:val="00560745"/>
    <w:rsid w:val="00561161"/>
    <w:rsid w:val="005674DD"/>
    <w:rsid w:val="005707D7"/>
    <w:rsid w:val="00573F1C"/>
    <w:rsid w:val="00575E9D"/>
    <w:rsid w:val="00576994"/>
    <w:rsid w:val="005830F7"/>
    <w:rsid w:val="00583536"/>
    <w:rsid w:val="00584E87"/>
    <w:rsid w:val="00585BC5"/>
    <w:rsid w:val="00590924"/>
    <w:rsid w:val="00590E3B"/>
    <w:rsid w:val="00596A08"/>
    <w:rsid w:val="005975E4"/>
    <w:rsid w:val="005A145E"/>
    <w:rsid w:val="005A4854"/>
    <w:rsid w:val="005A51A5"/>
    <w:rsid w:val="005A680B"/>
    <w:rsid w:val="005B4E69"/>
    <w:rsid w:val="005C1808"/>
    <w:rsid w:val="005C4C5D"/>
    <w:rsid w:val="005C5BBB"/>
    <w:rsid w:val="005C7DF8"/>
    <w:rsid w:val="005D2594"/>
    <w:rsid w:val="005D5AB8"/>
    <w:rsid w:val="005D7566"/>
    <w:rsid w:val="005E044C"/>
    <w:rsid w:val="005E1521"/>
    <w:rsid w:val="005E2DC7"/>
    <w:rsid w:val="006000E3"/>
    <w:rsid w:val="006042FC"/>
    <w:rsid w:val="006052C6"/>
    <w:rsid w:val="006113C9"/>
    <w:rsid w:val="006158CA"/>
    <w:rsid w:val="00616E80"/>
    <w:rsid w:val="00617B49"/>
    <w:rsid w:val="00622118"/>
    <w:rsid w:val="0062235E"/>
    <w:rsid w:val="00623A16"/>
    <w:rsid w:val="00623BC8"/>
    <w:rsid w:val="006242BF"/>
    <w:rsid w:val="00634072"/>
    <w:rsid w:val="00635B6B"/>
    <w:rsid w:val="00643273"/>
    <w:rsid w:val="006614E2"/>
    <w:rsid w:val="00661EA9"/>
    <w:rsid w:val="006620DE"/>
    <w:rsid w:val="006720D8"/>
    <w:rsid w:val="006820E3"/>
    <w:rsid w:val="0068711D"/>
    <w:rsid w:val="00690AB1"/>
    <w:rsid w:val="00695B70"/>
    <w:rsid w:val="006A52FF"/>
    <w:rsid w:val="006A7927"/>
    <w:rsid w:val="006B03B0"/>
    <w:rsid w:val="006B0673"/>
    <w:rsid w:val="006B1F5A"/>
    <w:rsid w:val="006B21FF"/>
    <w:rsid w:val="006B77E1"/>
    <w:rsid w:val="006C1DA3"/>
    <w:rsid w:val="006C4BE9"/>
    <w:rsid w:val="006C5C7A"/>
    <w:rsid w:val="006D2BCC"/>
    <w:rsid w:val="006D4085"/>
    <w:rsid w:val="006D67A4"/>
    <w:rsid w:val="006D7246"/>
    <w:rsid w:val="006E0279"/>
    <w:rsid w:val="006E424E"/>
    <w:rsid w:val="006E7CDC"/>
    <w:rsid w:val="006F4E55"/>
    <w:rsid w:val="006F6249"/>
    <w:rsid w:val="00700C4C"/>
    <w:rsid w:val="00705A89"/>
    <w:rsid w:val="00705DE2"/>
    <w:rsid w:val="0071039B"/>
    <w:rsid w:val="0071711F"/>
    <w:rsid w:val="00732B2A"/>
    <w:rsid w:val="007357ED"/>
    <w:rsid w:val="0073615F"/>
    <w:rsid w:val="007408D9"/>
    <w:rsid w:val="00746370"/>
    <w:rsid w:val="00752372"/>
    <w:rsid w:val="00752C3F"/>
    <w:rsid w:val="0075353A"/>
    <w:rsid w:val="00753BA5"/>
    <w:rsid w:val="007542AB"/>
    <w:rsid w:val="007722C6"/>
    <w:rsid w:val="00776B1C"/>
    <w:rsid w:val="00794717"/>
    <w:rsid w:val="00795FFE"/>
    <w:rsid w:val="007A0A60"/>
    <w:rsid w:val="007A13D7"/>
    <w:rsid w:val="007A74F3"/>
    <w:rsid w:val="007A7521"/>
    <w:rsid w:val="007B086D"/>
    <w:rsid w:val="007B2529"/>
    <w:rsid w:val="007C3504"/>
    <w:rsid w:val="007D16D5"/>
    <w:rsid w:val="007D53AB"/>
    <w:rsid w:val="007D64D6"/>
    <w:rsid w:val="007D71A1"/>
    <w:rsid w:val="007E1C24"/>
    <w:rsid w:val="007F1856"/>
    <w:rsid w:val="007F4174"/>
    <w:rsid w:val="007F6AA2"/>
    <w:rsid w:val="00807FA5"/>
    <w:rsid w:val="008120A0"/>
    <w:rsid w:val="0081570E"/>
    <w:rsid w:val="008263B4"/>
    <w:rsid w:val="00835FDE"/>
    <w:rsid w:val="00836061"/>
    <w:rsid w:val="00836DB5"/>
    <w:rsid w:val="00840E0E"/>
    <w:rsid w:val="008421D9"/>
    <w:rsid w:val="0084519F"/>
    <w:rsid w:val="00852868"/>
    <w:rsid w:val="00855487"/>
    <w:rsid w:val="00860003"/>
    <w:rsid w:val="00860FBB"/>
    <w:rsid w:val="0086424D"/>
    <w:rsid w:val="008727F0"/>
    <w:rsid w:val="0087644A"/>
    <w:rsid w:val="00882102"/>
    <w:rsid w:val="008825C1"/>
    <w:rsid w:val="00883608"/>
    <w:rsid w:val="00890920"/>
    <w:rsid w:val="008A23C1"/>
    <w:rsid w:val="008A69C4"/>
    <w:rsid w:val="008B005C"/>
    <w:rsid w:val="008B0EC3"/>
    <w:rsid w:val="008B3B09"/>
    <w:rsid w:val="008B5CF6"/>
    <w:rsid w:val="008C1DDD"/>
    <w:rsid w:val="008C2D71"/>
    <w:rsid w:val="008C2F1F"/>
    <w:rsid w:val="008C3FBE"/>
    <w:rsid w:val="008C4D7E"/>
    <w:rsid w:val="008D420A"/>
    <w:rsid w:val="008E3240"/>
    <w:rsid w:val="008F04DA"/>
    <w:rsid w:val="008F2009"/>
    <w:rsid w:val="008F4C45"/>
    <w:rsid w:val="008F5DDA"/>
    <w:rsid w:val="008F707C"/>
    <w:rsid w:val="009037B6"/>
    <w:rsid w:val="00905032"/>
    <w:rsid w:val="0090689C"/>
    <w:rsid w:val="009074E7"/>
    <w:rsid w:val="009078A5"/>
    <w:rsid w:val="009162A1"/>
    <w:rsid w:val="00920F26"/>
    <w:rsid w:val="009211B5"/>
    <w:rsid w:val="00935ACA"/>
    <w:rsid w:val="00937CA5"/>
    <w:rsid w:val="00947515"/>
    <w:rsid w:val="00947D04"/>
    <w:rsid w:val="009511E7"/>
    <w:rsid w:val="0095619A"/>
    <w:rsid w:val="00956336"/>
    <w:rsid w:val="009574AE"/>
    <w:rsid w:val="009579AD"/>
    <w:rsid w:val="009605AC"/>
    <w:rsid w:val="00970C42"/>
    <w:rsid w:val="00976B70"/>
    <w:rsid w:val="009827C3"/>
    <w:rsid w:val="00986CCE"/>
    <w:rsid w:val="00987FA0"/>
    <w:rsid w:val="009961D2"/>
    <w:rsid w:val="00997434"/>
    <w:rsid w:val="009A1BEF"/>
    <w:rsid w:val="009A2933"/>
    <w:rsid w:val="009A69C5"/>
    <w:rsid w:val="009B4D7E"/>
    <w:rsid w:val="009C237B"/>
    <w:rsid w:val="009C3EC1"/>
    <w:rsid w:val="009C72D5"/>
    <w:rsid w:val="009D1272"/>
    <w:rsid w:val="009D1E02"/>
    <w:rsid w:val="009D3691"/>
    <w:rsid w:val="009D3C54"/>
    <w:rsid w:val="009D73F2"/>
    <w:rsid w:val="009E2841"/>
    <w:rsid w:val="009F0563"/>
    <w:rsid w:val="009F0E48"/>
    <w:rsid w:val="009F3B44"/>
    <w:rsid w:val="009F3D77"/>
    <w:rsid w:val="009F4F7F"/>
    <w:rsid w:val="00A011C0"/>
    <w:rsid w:val="00A011FE"/>
    <w:rsid w:val="00A02353"/>
    <w:rsid w:val="00A0728C"/>
    <w:rsid w:val="00A1085B"/>
    <w:rsid w:val="00A21E91"/>
    <w:rsid w:val="00A21FFD"/>
    <w:rsid w:val="00A2423D"/>
    <w:rsid w:val="00A262DC"/>
    <w:rsid w:val="00A365CB"/>
    <w:rsid w:val="00A62633"/>
    <w:rsid w:val="00A8713D"/>
    <w:rsid w:val="00A91725"/>
    <w:rsid w:val="00A95645"/>
    <w:rsid w:val="00A95937"/>
    <w:rsid w:val="00AB4DE2"/>
    <w:rsid w:val="00AB7386"/>
    <w:rsid w:val="00AB73DD"/>
    <w:rsid w:val="00AD04EC"/>
    <w:rsid w:val="00AD12B2"/>
    <w:rsid w:val="00AD28F4"/>
    <w:rsid w:val="00AD2B71"/>
    <w:rsid w:val="00AD62C9"/>
    <w:rsid w:val="00AD6841"/>
    <w:rsid w:val="00AD6D16"/>
    <w:rsid w:val="00AE599D"/>
    <w:rsid w:val="00AF348D"/>
    <w:rsid w:val="00AF5EC3"/>
    <w:rsid w:val="00B03FAF"/>
    <w:rsid w:val="00B112F9"/>
    <w:rsid w:val="00B1358A"/>
    <w:rsid w:val="00B13BAE"/>
    <w:rsid w:val="00B154B4"/>
    <w:rsid w:val="00B160B5"/>
    <w:rsid w:val="00B23567"/>
    <w:rsid w:val="00B23C34"/>
    <w:rsid w:val="00B40386"/>
    <w:rsid w:val="00B41863"/>
    <w:rsid w:val="00B4234D"/>
    <w:rsid w:val="00B46670"/>
    <w:rsid w:val="00B51619"/>
    <w:rsid w:val="00B534D7"/>
    <w:rsid w:val="00B54B05"/>
    <w:rsid w:val="00B553C4"/>
    <w:rsid w:val="00B562D7"/>
    <w:rsid w:val="00B56995"/>
    <w:rsid w:val="00B601A6"/>
    <w:rsid w:val="00B61C65"/>
    <w:rsid w:val="00B62047"/>
    <w:rsid w:val="00B63EF7"/>
    <w:rsid w:val="00B65B82"/>
    <w:rsid w:val="00B7028F"/>
    <w:rsid w:val="00B716C6"/>
    <w:rsid w:val="00B82661"/>
    <w:rsid w:val="00B84329"/>
    <w:rsid w:val="00B86300"/>
    <w:rsid w:val="00B87051"/>
    <w:rsid w:val="00B87B36"/>
    <w:rsid w:val="00B87FB6"/>
    <w:rsid w:val="00B948EC"/>
    <w:rsid w:val="00B94978"/>
    <w:rsid w:val="00B94C49"/>
    <w:rsid w:val="00BA1334"/>
    <w:rsid w:val="00BA7C80"/>
    <w:rsid w:val="00BB7111"/>
    <w:rsid w:val="00BB7E24"/>
    <w:rsid w:val="00BC2AB3"/>
    <w:rsid w:val="00BC33BF"/>
    <w:rsid w:val="00BC5588"/>
    <w:rsid w:val="00BC75B3"/>
    <w:rsid w:val="00BD1620"/>
    <w:rsid w:val="00BD1BC0"/>
    <w:rsid w:val="00BD71BC"/>
    <w:rsid w:val="00BE1492"/>
    <w:rsid w:val="00BE3DA0"/>
    <w:rsid w:val="00BE5117"/>
    <w:rsid w:val="00BE58E4"/>
    <w:rsid w:val="00BE5F2C"/>
    <w:rsid w:val="00BF129F"/>
    <w:rsid w:val="00BF18BA"/>
    <w:rsid w:val="00BF2FC9"/>
    <w:rsid w:val="00BF4C99"/>
    <w:rsid w:val="00C17EC1"/>
    <w:rsid w:val="00C3187E"/>
    <w:rsid w:val="00C336B4"/>
    <w:rsid w:val="00C340FE"/>
    <w:rsid w:val="00C34AA6"/>
    <w:rsid w:val="00C366C4"/>
    <w:rsid w:val="00C4698B"/>
    <w:rsid w:val="00C47D97"/>
    <w:rsid w:val="00C61CE6"/>
    <w:rsid w:val="00C634B9"/>
    <w:rsid w:val="00C65B1F"/>
    <w:rsid w:val="00C7477F"/>
    <w:rsid w:val="00C95991"/>
    <w:rsid w:val="00C96E0A"/>
    <w:rsid w:val="00C97B5C"/>
    <w:rsid w:val="00CA477A"/>
    <w:rsid w:val="00CA5CDF"/>
    <w:rsid w:val="00CA6E9E"/>
    <w:rsid w:val="00CB2728"/>
    <w:rsid w:val="00CB2D00"/>
    <w:rsid w:val="00CC0251"/>
    <w:rsid w:val="00CC2583"/>
    <w:rsid w:val="00CC3121"/>
    <w:rsid w:val="00CC5565"/>
    <w:rsid w:val="00CC5B0E"/>
    <w:rsid w:val="00CC62D4"/>
    <w:rsid w:val="00CE08F4"/>
    <w:rsid w:val="00CE5AD1"/>
    <w:rsid w:val="00CF0081"/>
    <w:rsid w:val="00CF40E3"/>
    <w:rsid w:val="00CF7236"/>
    <w:rsid w:val="00D03A72"/>
    <w:rsid w:val="00D17EFA"/>
    <w:rsid w:val="00D20458"/>
    <w:rsid w:val="00D2056B"/>
    <w:rsid w:val="00D23F90"/>
    <w:rsid w:val="00D25145"/>
    <w:rsid w:val="00D34102"/>
    <w:rsid w:val="00D364E4"/>
    <w:rsid w:val="00D37D0F"/>
    <w:rsid w:val="00D40A85"/>
    <w:rsid w:val="00D43086"/>
    <w:rsid w:val="00D449DF"/>
    <w:rsid w:val="00D47A9D"/>
    <w:rsid w:val="00D50AFB"/>
    <w:rsid w:val="00D53788"/>
    <w:rsid w:val="00D546EF"/>
    <w:rsid w:val="00D54B8D"/>
    <w:rsid w:val="00D64C3D"/>
    <w:rsid w:val="00D660CE"/>
    <w:rsid w:val="00D81FDE"/>
    <w:rsid w:val="00D831F8"/>
    <w:rsid w:val="00D84346"/>
    <w:rsid w:val="00D94E94"/>
    <w:rsid w:val="00D951DE"/>
    <w:rsid w:val="00D96E7E"/>
    <w:rsid w:val="00DB653C"/>
    <w:rsid w:val="00DB7A6B"/>
    <w:rsid w:val="00DC09BC"/>
    <w:rsid w:val="00DC60AD"/>
    <w:rsid w:val="00DC6D40"/>
    <w:rsid w:val="00DD2587"/>
    <w:rsid w:val="00DD607E"/>
    <w:rsid w:val="00DE0BF0"/>
    <w:rsid w:val="00DE2719"/>
    <w:rsid w:val="00E02D54"/>
    <w:rsid w:val="00E1414A"/>
    <w:rsid w:val="00E2567B"/>
    <w:rsid w:val="00E27746"/>
    <w:rsid w:val="00E32153"/>
    <w:rsid w:val="00E338C5"/>
    <w:rsid w:val="00E523BC"/>
    <w:rsid w:val="00E56068"/>
    <w:rsid w:val="00E61099"/>
    <w:rsid w:val="00E67D0C"/>
    <w:rsid w:val="00E7144D"/>
    <w:rsid w:val="00E7427E"/>
    <w:rsid w:val="00E74651"/>
    <w:rsid w:val="00E75BA9"/>
    <w:rsid w:val="00E76A1D"/>
    <w:rsid w:val="00E83A7C"/>
    <w:rsid w:val="00E84D12"/>
    <w:rsid w:val="00E86C29"/>
    <w:rsid w:val="00E96AFF"/>
    <w:rsid w:val="00EA2C31"/>
    <w:rsid w:val="00EA675A"/>
    <w:rsid w:val="00EA705E"/>
    <w:rsid w:val="00EB50F5"/>
    <w:rsid w:val="00EC1FA1"/>
    <w:rsid w:val="00EC38C0"/>
    <w:rsid w:val="00EC69D4"/>
    <w:rsid w:val="00ED2F2E"/>
    <w:rsid w:val="00ED3582"/>
    <w:rsid w:val="00EE04E8"/>
    <w:rsid w:val="00EE2261"/>
    <w:rsid w:val="00EF61A9"/>
    <w:rsid w:val="00EF6379"/>
    <w:rsid w:val="00F03B35"/>
    <w:rsid w:val="00F07D3E"/>
    <w:rsid w:val="00F10201"/>
    <w:rsid w:val="00F11F41"/>
    <w:rsid w:val="00F16E67"/>
    <w:rsid w:val="00F17A91"/>
    <w:rsid w:val="00F17CE0"/>
    <w:rsid w:val="00F347E5"/>
    <w:rsid w:val="00F349A9"/>
    <w:rsid w:val="00F543AB"/>
    <w:rsid w:val="00F577C1"/>
    <w:rsid w:val="00F64DB5"/>
    <w:rsid w:val="00F70B43"/>
    <w:rsid w:val="00F74CB9"/>
    <w:rsid w:val="00F77D27"/>
    <w:rsid w:val="00F835EE"/>
    <w:rsid w:val="00F83B0B"/>
    <w:rsid w:val="00F861D1"/>
    <w:rsid w:val="00F93714"/>
    <w:rsid w:val="00F9433E"/>
    <w:rsid w:val="00F95DB3"/>
    <w:rsid w:val="00FA54D1"/>
    <w:rsid w:val="00FB4754"/>
    <w:rsid w:val="00FC1AF7"/>
    <w:rsid w:val="00FC28EA"/>
    <w:rsid w:val="00FC59EF"/>
    <w:rsid w:val="00FC618A"/>
    <w:rsid w:val="00FC74A9"/>
    <w:rsid w:val="00FD149F"/>
    <w:rsid w:val="00FD48FB"/>
    <w:rsid w:val="00FE341C"/>
    <w:rsid w:val="00FE6470"/>
    <w:rsid w:val="00FF4505"/>
    <w:rsid w:val="03D339CD"/>
    <w:rsid w:val="07BFE459"/>
    <w:rsid w:val="16770386"/>
    <w:rsid w:val="1DAFC435"/>
    <w:rsid w:val="1DE33738"/>
    <w:rsid w:val="23F55945"/>
    <w:rsid w:val="2F7B21B0"/>
    <w:rsid w:val="38027665"/>
    <w:rsid w:val="3BFB6584"/>
    <w:rsid w:val="465C5FDC"/>
    <w:rsid w:val="58A49C3C"/>
    <w:rsid w:val="6B17B1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7FAD"/>
  <w15:chartTrackingRefBased/>
  <w15:docId w15:val="{F2C724BF-B223-444E-8FE6-FD20EC05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20"/>
    <w:pPr>
      <w:spacing w:line="256" w:lineRule="auto"/>
    </w:pPr>
  </w:style>
  <w:style w:type="paragraph" w:styleId="Heading1">
    <w:name w:val="heading 1"/>
    <w:basedOn w:val="Normal"/>
    <w:next w:val="Normal"/>
    <w:link w:val="Heading1Char"/>
    <w:uiPriority w:val="9"/>
    <w:qFormat/>
    <w:rsid w:val="00E02D54"/>
    <w:pPr>
      <w:shd w:val="clear" w:color="auto" w:fill="00284A"/>
      <w:outlineLvl w:val="0"/>
    </w:pPr>
    <w:rPr>
      <w:rFonts w:ascii="Arial" w:eastAsia="Times New Roman" w:hAnsi="Arial" w:cs="Arial"/>
      <w:color w:val="FFFFFF" w:themeColor="background1"/>
      <w:lang w:val="en-GB"/>
    </w:rPr>
  </w:style>
  <w:style w:type="paragraph" w:styleId="Heading2">
    <w:name w:val="heading 2"/>
    <w:basedOn w:val="Normal"/>
    <w:next w:val="Normal"/>
    <w:link w:val="Heading2Char"/>
    <w:uiPriority w:val="9"/>
    <w:unhideWhenUsed/>
    <w:qFormat/>
    <w:rsid w:val="00D449DF"/>
    <w:pPr>
      <w:shd w:val="clear" w:color="auto" w:fill="8AC2E6"/>
      <w:outlineLvl w:val="1"/>
    </w:pPr>
    <w:rPr>
      <w:rFonts w:ascii="Arial" w:eastAsia="Times New Roman" w:hAnsi="Arial" w:cs="Arial"/>
      <w:color w:val="1F4585"/>
      <w:lang w:val="en-GB"/>
    </w:rPr>
  </w:style>
  <w:style w:type="paragraph" w:styleId="Heading3">
    <w:name w:val="heading 3"/>
    <w:basedOn w:val="Normal"/>
    <w:next w:val="Normal"/>
    <w:link w:val="Heading3Char"/>
    <w:uiPriority w:val="9"/>
    <w:semiHidden/>
    <w:unhideWhenUsed/>
    <w:qFormat/>
    <w:rsid w:val="00662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E02D54"/>
    <w:pPr>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E02D54"/>
    <w:rPr>
      <w:rFonts w:ascii="Arial" w:eastAsia="Times New Roman" w:hAnsi="Arial" w:cs="Arial"/>
      <w:color w:val="FFFFFF" w:themeColor="background1"/>
      <w:shd w:val="clear" w:color="auto" w:fill="00284A"/>
      <w:lang w:val="en-GB"/>
    </w:rPr>
  </w:style>
  <w:style w:type="character" w:customStyle="1" w:styleId="Heading2Char">
    <w:name w:val="Heading 2 Char"/>
    <w:basedOn w:val="DefaultParagraphFont"/>
    <w:link w:val="Heading2"/>
    <w:uiPriority w:val="9"/>
    <w:rsid w:val="00D449DF"/>
    <w:rPr>
      <w:rFonts w:ascii="Arial" w:eastAsia="Times New Roman" w:hAnsi="Arial" w:cs="Arial"/>
      <w:color w:val="1F4585"/>
      <w:shd w:val="clear" w:color="auto" w:fill="8AC2E6"/>
      <w:lang w:val="en-GB"/>
    </w:rPr>
  </w:style>
  <w:style w:type="paragraph" w:styleId="Header">
    <w:name w:val="header"/>
    <w:basedOn w:val="Normal"/>
    <w:link w:val="HeaderChar"/>
    <w:uiPriority w:val="99"/>
    <w:unhideWhenUsed/>
    <w:rsid w:val="004C0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1E8"/>
  </w:style>
  <w:style w:type="paragraph" w:styleId="Footer">
    <w:name w:val="footer"/>
    <w:basedOn w:val="Normal"/>
    <w:link w:val="FooterChar"/>
    <w:uiPriority w:val="99"/>
    <w:unhideWhenUsed/>
    <w:rsid w:val="004C0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1E8"/>
  </w:style>
  <w:style w:type="table" w:styleId="TableGrid">
    <w:name w:val="Table Grid"/>
    <w:basedOn w:val="TableNormal"/>
    <w:uiPriority w:val="39"/>
    <w:rsid w:val="004C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620D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76B70"/>
    <w:pPr>
      <w:ind w:left="720"/>
      <w:contextualSpacing/>
    </w:pPr>
  </w:style>
  <w:style w:type="paragraph" w:styleId="NormalWeb">
    <w:name w:val="Normal (Web)"/>
    <w:basedOn w:val="Normal"/>
    <w:uiPriority w:val="99"/>
    <w:unhideWhenUsed/>
    <w:rsid w:val="0028641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86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41F"/>
    <w:rPr>
      <w:rFonts w:ascii="Segoe UI" w:hAnsi="Segoe UI" w:cs="Segoe UI"/>
      <w:sz w:val="18"/>
      <w:szCs w:val="18"/>
    </w:rPr>
  </w:style>
  <w:style w:type="paragraph" w:styleId="PlainText">
    <w:name w:val="Plain Text"/>
    <w:basedOn w:val="Normal"/>
    <w:link w:val="PlainTextChar"/>
    <w:uiPriority w:val="99"/>
    <w:unhideWhenUsed/>
    <w:rsid w:val="0047348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7348D"/>
    <w:rPr>
      <w:rFonts w:ascii="Calibri" w:hAnsi="Calibri"/>
      <w:szCs w:val="21"/>
    </w:rPr>
  </w:style>
  <w:style w:type="character" w:styleId="Hyperlink">
    <w:name w:val="Hyperlink"/>
    <w:basedOn w:val="DefaultParagraphFont"/>
    <w:uiPriority w:val="99"/>
    <w:unhideWhenUsed/>
    <w:rsid w:val="0084519F"/>
    <w:rPr>
      <w:color w:val="0563C1" w:themeColor="hyperlink"/>
      <w:u w:val="single"/>
    </w:rPr>
  </w:style>
  <w:style w:type="character" w:styleId="UnresolvedMention">
    <w:name w:val="Unresolved Mention"/>
    <w:basedOn w:val="DefaultParagraphFont"/>
    <w:uiPriority w:val="99"/>
    <w:semiHidden/>
    <w:unhideWhenUsed/>
    <w:rsid w:val="0084519F"/>
    <w:rPr>
      <w:color w:val="605E5C"/>
      <w:shd w:val="clear" w:color="auto" w:fill="E1DFDD"/>
    </w:rPr>
  </w:style>
  <w:style w:type="paragraph" w:customStyle="1" w:styleId="Default">
    <w:name w:val="Default"/>
    <w:basedOn w:val="Normal"/>
    <w:rsid w:val="00A0728C"/>
    <w:pPr>
      <w:autoSpaceDE w:val="0"/>
      <w:autoSpaceDN w:val="0"/>
      <w:spacing w:after="0" w:line="240" w:lineRule="auto"/>
    </w:pPr>
    <w:rPr>
      <w:rFonts w:ascii="Calibri" w:hAnsi="Calibri" w:cs="Calibri"/>
      <w:color w:val="000000"/>
      <w:sz w:val="24"/>
      <w:szCs w:val="24"/>
    </w:rPr>
  </w:style>
  <w:style w:type="paragraph" w:styleId="BodyText">
    <w:name w:val="Body Text"/>
    <w:basedOn w:val="Normal"/>
    <w:link w:val="BodyTextChar"/>
    <w:uiPriority w:val="1"/>
    <w:semiHidden/>
    <w:unhideWhenUsed/>
    <w:rsid w:val="0026673A"/>
    <w:pPr>
      <w:shd w:val="clear" w:color="auto" w:fill="FFFFFF"/>
      <w:overflowPunct w:val="0"/>
      <w:autoSpaceDE w:val="0"/>
      <w:autoSpaceDN w:val="0"/>
      <w:spacing w:before="3" w:after="0" w:line="276" w:lineRule="auto"/>
      <w:ind w:left="170"/>
    </w:pPr>
    <w:rPr>
      <w:rFonts w:ascii="Brother 1816 Regular" w:hAnsi="Brother 1816 Regular" w:cs="Calibri"/>
      <w:color w:val="004960"/>
      <w:lang w:eastAsia="en-GB"/>
    </w:rPr>
  </w:style>
  <w:style w:type="character" w:customStyle="1" w:styleId="BodyTextChar">
    <w:name w:val="Body Text Char"/>
    <w:basedOn w:val="DefaultParagraphFont"/>
    <w:link w:val="BodyText"/>
    <w:uiPriority w:val="1"/>
    <w:semiHidden/>
    <w:rsid w:val="0026673A"/>
    <w:rPr>
      <w:rFonts w:ascii="Brother 1816 Regular" w:hAnsi="Brother 1816 Regular" w:cs="Calibri"/>
      <w:color w:val="004960"/>
      <w:shd w:val="clear" w:color="auto" w:fill="FFFFFF"/>
      <w:lang w:eastAsia="en-GB"/>
    </w:rPr>
  </w:style>
  <w:style w:type="character" w:styleId="FollowedHyperlink">
    <w:name w:val="FollowedHyperlink"/>
    <w:basedOn w:val="DefaultParagraphFont"/>
    <w:uiPriority w:val="99"/>
    <w:semiHidden/>
    <w:unhideWhenUsed/>
    <w:rsid w:val="0026673A"/>
    <w:rPr>
      <w:color w:val="954F72" w:themeColor="followedHyperlink"/>
      <w:u w:val="single"/>
    </w:rPr>
  </w:style>
  <w:style w:type="paragraph" w:styleId="CommentText">
    <w:name w:val="annotation text"/>
    <w:basedOn w:val="Normal"/>
    <w:link w:val="CommentTextChar"/>
    <w:uiPriority w:val="99"/>
    <w:unhideWhenUsed/>
    <w:rsid w:val="00860003"/>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860003"/>
    <w:rPr>
      <w:kern w:val="2"/>
      <w:sz w:val="20"/>
      <w:szCs w:val="20"/>
      <w14:ligatures w14:val="standardContextual"/>
    </w:rPr>
  </w:style>
  <w:style w:type="character" w:styleId="CommentReference">
    <w:name w:val="annotation reference"/>
    <w:basedOn w:val="DefaultParagraphFont"/>
    <w:uiPriority w:val="99"/>
    <w:semiHidden/>
    <w:unhideWhenUsed/>
    <w:rsid w:val="008600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318">
      <w:bodyDiv w:val="1"/>
      <w:marLeft w:val="0"/>
      <w:marRight w:val="0"/>
      <w:marTop w:val="0"/>
      <w:marBottom w:val="0"/>
      <w:divBdr>
        <w:top w:val="none" w:sz="0" w:space="0" w:color="auto"/>
        <w:left w:val="none" w:sz="0" w:space="0" w:color="auto"/>
        <w:bottom w:val="none" w:sz="0" w:space="0" w:color="auto"/>
        <w:right w:val="none" w:sz="0" w:space="0" w:color="auto"/>
      </w:divBdr>
    </w:div>
    <w:div w:id="13119475">
      <w:bodyDiv w:val="1"/>
      <w:marLeft w:val="0"/>
      <w:marRight w:val="0"/>
      <w:marTop w:val="0"/>
      <w:marBottom w:val="0"/>
      <w:divBdr>
        <w:top w:val="none" w:sz="0" w:space="0" w:color="auto"/>
        <w:left w:val="none" w:sz="0" w:space="0" w:color="auto"/>
        <w:bottom w:val="none" w:sz="0" w:space="0" w:color="auto"/>
        <w:right w:val="none" w:sz="0" w:space="0" w:color="auto"/>
      </w:divBdr>
    </w:div>
    <w:div w:id="21713720">
      <w:bodyDiv w:val="1"/>
      <w:marLeft w:val="0"/>
      <w:marRight w:val="0"/>
      <w:marTop w:val="0"/>
      <w:marBottom w:val="0"/>
      <w:divBdr>
        <w:top w:val="none" w:sz="0" w:space="0" w:color="auto"/>
        <w:left w:val="none" w:sz="0" w:space="0" w:color="auto"/>
        <w:bottom w:val="none" w:sz="0" w:space="0" w:color="auto"/>
        <w:right w:val="none" w:sz="0" w:space="0" w:color="auto"/>
      </w:divBdr>
    </w:div>
    <w:div w:id="32732406">
      <w:bodyDiv w:val="1"/>
      <w:marLeft w:val="0"/>
      <w:marRight w:val="0"/>
      <w:marTop w:val="0"/>
      <w:marBottom w:val="0"/>
      <w:divBdr>
        <w:top w:val="none" w:sz="0" w:space="0" w:color="auto"/>
        <w:left w:val="none" w:sz="0" w:space="0" w:color="auto"/>
        <w:bottom w:val="none" w:sz="0" w:space="0" w:color="auto"/>
        <w:right w:val="none" w:sz="0" w:space="0" w:color="auto"/>
      </w:divBdr>
    </w:div>
    <w:div w:id="142082746">
      <w:bodyDiv w:val="1"/>
      <w:marLeft w:val="0"/>
      <w:marRight w:val="0"/>
      <w:marTop w:val="0"/>
      <w:marBottom w:val="0"/>
      <w:divBdr>
        <w:top w:val="none" w:sz="0" w:space="0" w:color="auto"/>
        <w:left w:val="none" w:sz="0" w:space="0" w:color="auto"/>
        <w:bottom w:val="none" w:sz="0" w:space="0" w:color="auto"/>
        <w:right w:val="none" w:sz="0" w:space="0" w:color="auto"/>
      </w:divBdr>
    </w:div>
    <w:div w:id="209222890">
      <w:bodyDiv w:val="1"/>
      <w:marLeft w:val="0"/>
      <w:marRight w:val="0"/>
      <w:marTop w:val="0"/>
      <w:marBottom w:val="0"/>
      <w:divBdr>
        <w:top w:val="none" w:sz="0" w:space="0" w:color="auto"/>
        <w:left w:val="none" w:sz="0" w:space="0" w:color="auto"/>
        <w:bottom w:val="none" w:sz="0" w:space="0" w:color="auto"/>
        <w:right w:val="none" w:sz="0" w:space="0" w:color="auto"/>
      </w:divBdr>
    </w:div>
    <w:div w:id="216744377">
      <w:bodyDiv w:val="1"/>
      <w:marLeft w:val="0"/>
      <w:marRight w:val="0"/>
      <w:marTop w:val="0"/>
      <w:marBottom w:val="0"/>
      <w:divBdr>
        <w:top w:val="none" w:sz="0" w:space="0" w:color="auto"/>
        <w:left w:val="none" w:sz="0" w:space="0" w:color="auto"/>
        <w:bottom w:val="none" w:sz="0" w:space="0" w:color="auto"/>
        <w:right w:val="none" w:sz="0" w:space="0" w:color="auto"/>
      </w:divBdr>
    </w:div>
    <w:div w:id="217132829">
      <w:bodyDiv w:val="1"/>
      <w:marLeft w:val="0"/>
      <w:marRight w:val="0"/>
      <w:marTop w:val="0"/>
      <w:marBottom w:val="0"/>
      <w:divBdr>
        <w:top w:val="none" w:sz="0" w:space="0" w:color="auto"/>
        <w:left w:val="none" w:sz="0" w:space="0" w:color="auto"/>
        <w:bottom w:val="none" w:sz="0" w:space="0" w:color="auto"/>
        <w:right w:val="none" w:sz="0" w:space="0" w:color="auto"/>
      </w:divBdr>
    </w:div>
    <w:div w:id="222103122">
      <w:bodyDiv w:val="1"/>
      <w:marLeft w:val="0"/>
      <w:marRight w:val="0"/>
      <w:marTop w:val="0"/>
      <w:marBottom w:val="0"/>
      <w:divBdr>
        <w:top w:val="none" w:sz="0" w:space="0" w:color="auto"/>
        <w:left w:val="none" w:sz="0" w:space="0" w:color="auto"/>
        <w:bottom w:val="none" w:sz="0" w:space="0" w:color="auto"/>
        <w:right w:val="none" w:sz="0" w:space="0" w:color="auto"/>
      </w:divBdr>
    </w:div>
    <w:div w:id="272134259">
      <w:bodyDiv w:val="1"/>
      <w:marLeft w:val="0"/>
      <w:marRight w:val="0"/>
      <w:marTop w:val="0"/>
      <w:marBottom w:val="0"/>
      <w:divBdr>
        <w:top w:val="none" w:sz="0" w:space="0" w:color="auto"/>
        <w:left w:val="none" w:sz="0" w:space="0" w:color="auto"/>
        <w:bottom w:val="none" w:sz="0" w:space="0" w:color="auto"/>
        <w:right w:val="none" w:sz="0" w:space="0" w:color="auto"/>
      </w:divBdr>
    </w:div>
    <w:div w:id="272635107">
      <w:bodyDiv w:val="1"/>
      <w:marLeft w:val="0"/>
      <w:marRight w:val="0"/>
      <w:marTop w:val="0"/>
      <w:marBottom w:val="0"/>
      <w:divBdr>
        <w:top w:val="none" w:sz="0" w:space="0" w:color="auto"/>
        <w:left w:val="none" w:sz="0" w:space="0" w:color="auto"/>
        <w:bottom w:val="none" w:sz="0" w:space="0" w:color="auto"/>
        <w:right w:val="none" w:sz="0" w:space="0" w:color="auto"/>
      </w:divBdr>
    </w:div>
    <w:div w:id="296299689">
      <w:bodyDiv w:val="1"/>
      <w:marLeft w:val="0"/>
      <w:marRight w:val="0"/>
      <w:marTop w:val="0"/>
      <w:marBottom w:val="0"/>
      <w:divBdr>
        <w:top w:val="none" w:sz="0" w:space="0" w:color="auto"/>
        <w:left w:val="none" w:sz="0" w:space="0" w:color="auto"/>
        <w:bottom w:val="none" w:sz="0" w:space="0" w:color="auto"/>
        <w:right w:val="none" w:sz="0" w:space="0" w:color="auto"/>
      </w:divBdr>
    </w:div>
    <w:div w:id="313994097">
      <w:bodyDiv w:val="1"/>
      <w:marLeft w:val="0"/>
      <w:marRight w:val="0"/>
      <w:marTop w:val="0"/>
      <w:marBottom w:val="0"/>
      <w:divBdr>
        <w:top w:val="none" w:sz="0" w:space="0" w:color="auto"/>
        <w:left w:val="none" w:sz="0" w:space="0" w:color="auto"/>
        <w:bottom w:val="none" w:sz="0" w:space="0" w:color="auto"/>
        <w:right w:val="none" w:sz="0" w:space="0" w:color="auto"/>
      </w:divBdr>
    </w:div>
    <w:div w:id="323626703">
      <w:bodyDiv w:val="1"/>
      <w:marLeft w:val="0"/>
      <w:marRight w:val="0"/>
      <w:marTop w:val="0"/>
      <w:marBottom w:val="0"/>
      <w:divBdr>
        <w:top w:val="none" w:sz="0" w:space="0" w:color="auto"/>
        <w:left w:val="none" w:sz="0" w:space="0" w:color="auto"/>
        <w:bottom w:val="none" w:sz="0" w:space="0" w:color="auto"/>
        <w:right w:val="none" w:sz="0" w:space="0" w:color="auto"/>
      </w:divBdr>
    </w:div>
    <w:div w:id="328337592">
      <w:bodyDiv w:val="1"/>
      <w:marLeft w:val="0"/>
      <w:marRight w:val="0"/>
      <w:marTop w:val="0"/>
      <w:marBottom w:val="0"/>
      <w:divBdr>
        <w:top w:val="none" w:sz="0" w:space="0" w:color="auto"/>
        <w:left w:val="none" w:sz="0" w:space="0" w:color="auto"/>
        <w:bottom w:val="none" w:sz="0" w:space="0" w:color="auto"/>
        <w:right w:val="none" w:sz="0" w:space="0" w:color="auto"/>
      </w:divBdr>
    </w:div>
    <w:div w:id="401753260">
      <w:bodyDiv w:val="1"/>
      <w:marLeft w:val="0"/>
      <w:marRight w:val="0"/>
      <w:marTop w:val="0"/>
      <w:marBottom w:val="0"/>
      <w:divBdr>
        <w:top w:val="none" w:sz="0" w:space="0" w:color="auto"/>
        <w:left w:val="none" w:sz="0" w:space="0" w:color="auto"/>
        <w:bottom w:val="none" w:sz="0" w:space="0" w:color="auto"/>
        <w:right w:val="none" w:sz="0" w:space="0" w:color="auto"/>
      </w:divBdr>
    </w:div>
    <w:div w:id="507795942">
      <w:bodyDiv w:val="1"/>
      <w:marLeft w:val="0"/>
      <w:marRight w:val="0"/>
      <w:marTop w:val="0"/>
      <w:marBottom w:val="0"/>
      <w:divBdr>
        <w:top w:val="none" w:sz="0" w:space="0" w:color="auto"/>
        <w:left w:val="none" w:sz="0" w:space="0" w:color="auto"/>
        <w:bottom w:val="none" w:sz="0" w:space="0" w:color="auto"/>
        <w:right w:val="none" w:sz="0" w:space="0" w:color="auto"/>
      </w:divBdr>
    </w:div>
    <w:div w:id="581841142">
      <w:bodyDiv w:val="1"/>
      <w:marLeft w:val="0"/>
      <w:marRight w:val="0"/>
      <w:marTop w:val="0"/>
      <w:marBottom w:val="0"/>
      <w:divBdr>
        <w:top w:val="none" w:sz="0" w:space="0" w:color="auto"/>
        <w:left w:val="none" w:sz="0" w:space="0" w:color="auto"/>
        <w:bottom w:val="none" w:sz="0" w:space="0" w:color="auto"/>
        <w:right w:val="none" w:sz="0" w:space="0" w:color="auto"/>
      </w:divBdr>
    </w:div>
    <w:div w:id="593243440">
      <w:bodyDiv w:val="1"/>
      <w:marLeft w:val="0"/>
      <w:marRight w:val="0"/>
      <w:marTop w:val="0"/>
      <w:marBottom w:val="0"/>
      <w:divBdr>
        <w:top w:val="none" w:sz="0" w:space="0" w:color="auto"/>
        <w:left w:val="none" w:sz="0" w:space="0" w:color="auto"/>
        <w:bottom w:val="none" w:sz="0" w:space="0" w:color="auto"/>
        <w:right w:val="none" w:sz="0" w:space="0" w:color="auto"/>
      </w:divBdr>
    </w:div>
    <w:div w:id="612635838">
      <w:bodyDiv w:val="1"/>
      <w:marLeft w:val="0"/>
      <w:marRight w:val="0"/>
      <w:marTop w:val="0"/>
      <w:marBottom w:val="0"/>
      <w:divBdr>
        <w:top w:val="none" w:sz="0" w:space="0" w:color="auto"/>
        <w:left w:val="none" w:sz="0" w:space="0" w:color="auto"/>
        <w:bottom w:val="none" w:sz="0" w:space="0" w:color="auto"/>
        <w:right w:val="none" w:sz="0" w:space="0" w:color="auto"/>
      </w:divBdr>
    </w:div>
    <w:div w:id="623315746">
      <w:bodyDiv w:val="1"/>
      <w:marLeft w:val="0"/>
      <w:marRight w:val="0"/>
      <w:marTop w:val="0"/>
      <w:marBottom w:val="0"/>
      <w:divBdr>
        <w:top w:val="none" w:sz="0" w:space="0" w:color="auto"/>
        <w:left w:val="none" w:sz="0" w:space="0" w:color="auto"/>
        <w:bottom w:val="none" w:sz="0" w:space="0" w:color="auto"/>
        <w:right w:val="none" w:sz="0" w:space="0" w:color="auto"/>
      </w:divBdr>
    </w:div>
    <w:div w:id="640581169">
      <w:bodyDiv w:val="1"/>
      <w:marLeft w:val="0"/>
      <w:marRight w:val="0"/>
      <w:marTop w:val="0"/>
      <w:marBottom w:val="0"/>
      <w:divBdr>
        <w:top w:val="none" w:sz="0" w:space="0" w:color="auto"/>
        <w:left w:val="none" w:sz="0" w:space="0" w:color="auto"/>
        <w:bottom w:val="none" w:sz="0" w:space="0" w:color="auto"/>
        <w:right w:val="none" w:sz="0" w:space="0" w:color="auto"/>
      </w:divBdr>
    </w:div>
    <w:div w:id="655768707">
      <w:bodyDiv w:val="1"/>
      <w:marLeft w:val="0"/>
      <w:marRight w:val="0"/>
      <w:marTop w:val="0"/>
      <w:marBottom w:val="0"/>
      <w:divBdr>
        <w:top w:val="none" w:sz="0" w:space="0" w:color="auto"/>
        <w:left w:val="none" w:sz="0" w:space="0" w:color="auto"/>
        <w:bottom w:val="none" w:sz="0" w:space="0" w:color="auto"/>
        <w:right w:val="none" w:sz="0" w:space="0" w:color="auto"/>
      </w:divBdr>
    </w:div>
    <w:div w:id="661932810">
      <w:bodyDiv w:val="1"/>
      <w:marLeft w:val="0"/>
      <w:marRight w:val="0"/>
      <w:marTop w:val="0"/>
      <w:marBottom w:val="0"/>
      <w:divBdr>
        <w:top w:val="none" w:sz="0" w:space="0" w:color="auto"/>
        <w:left w:val="none" w:sz="0" w:space="0" w:color="auto"/>
        <w:bottom w:val="none" w:sz="0" w:space="0" w:color="auto"/>
        <w:right w:val="none" w:sz="0" w:space="0" w:color="auto"/>
      </w:divBdr>
    </w:div>
    <w:div w:id="673267580">
      <w:bodyDiv w:val="1"/>
      <w:marLeft w:val="0"/>
      <w:marRight w:val="0"/>
      <w:marTop w:val="0"/>
      <w:marBottom w:val="0"/>
      <w:divBdr>
        <w:top w:val="none" w:sz="0" w:space="0" w:color="auto"/>
        <w:left w:val="none" w:sz="0" w:space="0" w:color="auto"/>
        <w:bottom w:val="none" w:sz="0" w:space="0" w:color="auto"/>
        <w:right w:val="none" w:sz="0" w:space="0" w:color="auto"/>
      </w:divBdr>
    </w:div>
    <w:div w:id="751050590">
      <w:bodyDiv w:val="1"/>
      <w:marLeft w:val="0"/>
      <w:marRight w:val="0"/>
      <w:marTop w:val="0"/>
      <w:marBottom w:val="0"/>
      <w:divBdr>
        <w:top w:val="none" w:sz="0" w:space="0" w:color="auto"/>
        <w:left w:val="none" w:sz="0" w:space="0" w:color="auto"/>
        <w:bottom w:val="none" w:sz="0" w:space="0" w:color="auto"/>
        <w:right w:val="none" w:sz="0" w:space="0" w:color="auto"/>
      </w:divBdr>
    </w:div>
    <w:div w:id="761990402">
      <w:bodyDiv w:val="1"/>
      <w:marLeft w:val="0"/>
      <w:marRight w:val="0"/>
      <w:marTop w:val="0"/>
      <w:marBottom w:val="0"/>
      <w:divBdr>
        <w:top w:val="none" w:sz="0" w:space="0" w:color="auto"/>
        <w:left w:val="none" w:sz="0" w:space="0" w:color="auto"/>
        <w:bottom w:val="none" w:sz="0" w:space="0" w:color="auto"/>
        <w:right w:val="none" w:sz="0" w:space="0" w:color="auto"/>
      </w:divBdr>
    </w:div>
    <w:div w:id="792023231">
      <w:bodyDiv w:val="1"/>
      <w:marLeft w:val="0"/>
      <w:marRight w:val="0"/>
      <w:marTop w:val="0"/>
      <w:marBottom w:val="0"/>
      <w:divBdr>
        <w:top w:val="none" w:sz="0" w:space="0" w:color="auto"/>
        <w:left w:val="none" w:sz="0" w:space="0" w:color="auto"/>
        <w:bottom w:val="none" w:sz="0" w:space="0" w:color="auto"/>
        <w:right w:val="none" w:sz="0" w:space="0" w:color="auto"/>
      </w:divBdr>
    </w:div>
    <w:div w:id="797604840">
      <w:bodyDiv w:val="1"/>
      <w:marLeft w:val="0"/>
      <w:marRight w:val="0"/>
      <w:marTop w:val="0"/>
      <w:marBottom w:val="0"/>
      <w:divBdr>
        <w:top w:val="none" w:sz="0" w:space="0" w:color="auto"/>
        <w:left w:val="none" w:sz="0" w:space="0" w:color="auto"/>
        <w:bottom w:val="none" w:sz="0" w:space="0" w:color="auto"/>
        <w:right w:val="none" w:sz="0" w:space="0" w:color="auto"/>
      </w:divBdr>
    </w:div>
    <w:div w:id="801537000">
      <w:bodyDiv w:val="1"/>
      <w:marLeft w:val="0"/>
      <w:marRight w:val="0"/>
      <w:marTop w:val="0"/>
      <w:marBottom w:val="0"/>
      <w:divBdr>
        <w:top w:val="none" w:sz="0" w:space="0" w:color="auto"/>
        <w:left w:val="none" w:sz="0" w:space="0" w:color="auto"/>
        <w:bottom w:val="none" w:sz="0" w:space="0" w:color="auto"/>
        <w:right w:val="none" w:sz="0" w:space="0" w:color="auto"/>
      </w:divBdr>
    </w:div>
    <w:div w:id="837959967">
      <w:bodyDiv w:val="1"/>
      <w:marLeft w:val="0"/>
      <w:marRight w:val="0"/>
      <w:marTop w:val="0"/>
      <w:marBottom w:val="0"/>
      <w:divBdr>
        <w:top w:val="none" w:sz="0" w:space="0" w:color="auto"/>
        <w:left w:val="none" w:sz="0" w:space="0" w:color="auto"/>
        <w:bottom w:val="none" w:sz="0" w:space="0" w:color="auto"/>
        <w:right w:val="none" w:sz="0" w:space="0" w:color="auto"/>
      </w:divBdr>
    </w:div>
    <w:div w:id="854224601">
      <w:bodyDiv w:val="1"/>
      <w:marLeft w:val="0"/>
      <w:marRight w:val="0"/>
      <w:marTop w:val="0"/>
      <w:marBottom w:val="0"/>
      <w:divBdr>
        <w:top w:val="none" w:sz="0" w:space="0" w:color="auto"/>
        <w:left w:val="none" w:sz="0" w:space="0" w:color="auto"/>
        <w:bottom w:val="none" w:sz="0" w:space="0" w:color="auto"/>
        <w:right w:val="none" w:sz="0" w:space="0" w:color="auto"/>
      </w:divBdr>
    </w:div>
    <w:div w:id="882790008">
      <w:bodyDiv w:val="1"/>
      <w:marLeft w:val="0"/>
      <w:marRight w:val="0"/>
      <w:marTop w:val="0"/>
      <w:marBottom w:val="0"/>
      <w:divBdr>
        <w:top w:val="none" w:sz="0" w:space="0" w:color="auto"/>
        <w:left w:val="none" w:sz="0" w:space="0" w:color="auto"/>
        <w:bottom w:val="none" w:sz="0" w:space="0" w:color="auto"/>
        <w:right w:val="none" w:sz="0" w:space="0" w:color="auto"/>
      </w:divBdr>
    </w:div>
    <w:div w:id="988940558">
      <w:bodyDiv w:val="1"/>
      <w:marLeft w:val="0"/>
      <w:marRight w:val="0"/>
      <w:marTop w:val="0"/>
      <w:marBottom w:val="0"/>
      <w:divBdr>
        <w:top w:val="none" w:sz="0" w:space="0" w:color="auto"/>
        <w:left w:val="none" w:sz="0" w:space="0" w:color="auto"/>
        <w:bottom w:val="none" w:sz="0" w:space="0" w:color="auto"/>
        <w:right w:val="none" w:sz="0" w:space="0" w:color="auto"/>
      </w:divBdr>
    </w:div>
    <w:div w:id="1025595184">
      <w:bodyDiv w:val="1"/>
      <w:marLeft w:val="0"/>
      <w:marRight w:val="0"/>
      <w:marTop w:val="0"/>
      <w:marBottom w:val="0"/>
      <w:divBdr>
        <w:top w:val="none" w:sz="0" w:space="0" w:color="auto"/>
        <w:left w:val="none" w:sz="0" w:space="0" w:color="auto"/>
        <w:bottom w:val="none" w:sz="0" w:space="0" w:color="auto"/>
        <w:right w:val="none" w:sz="0" w:space="0" w:color="auto"/>
      </w:divBdr>
    </w:div>
    <w:div w:id="1101297464">
      <w:bodyDiv w:val="1"/>
      <w:marLeft w:val="0"/>
      <w:marRight w:val="0"/>
      <w:marTop w:val="0"/>
      <w:marBottom w:val="0"/>
      <w:divBdr>
        <w:top w:val="none" w:sz="0" w:space="0" w:color="auto"/>
        <w:left w:val="none" w:sz="0" w:space="0" w:color="auto"/>
        <w:bottom w:val="none" w:sz="0" w:space="0" w:color="auto"/>
        <w:right w:val="none" w:sz="0" w:space="0" w:color="auto"/>
      </w:divBdr>
    </w:div>
    <w:div w:id="1113861837">
      <w:bodyDiv w:val="1"/>
      <w:marLeft w:val="0"/>
      <w:marRight w:val="0"/>
      <w:marTop w:val="0"/>
      <w:marBottom w:val="0"/>
      <w:divBdr>
        <w:top w:val="none" w:sz="0" w:space="0" w:color="auto"/>
        <w:left w:val="none" w:sz="0" w:space="0" w:color="auto"/>
        <w:bottom w:val="none" w:sz="0" w:space="0" w:color="auto"/>
        <w:right w:val="none" w:sz="0" w:space="0" w:color="auto"/>
      </w:divBdr>
    </w:div>
    <w:div w:id="1137187985">
      <w:bodyDiv w:val="1"/>
      <w:marLeft w:val="0"/>
      <w:marRight w:val="0"/>
      <w:marTop w:val="0"/>
      <w:marBottom w:val="0"/>
      <w:divBdr>
        <w:top w:val="none" w:sz="0" w:space="0" w:color="auto"/>
        <w:left w:val="none" w:sz="0" w:space="0" w:color="auto"/>
        <w:bottom w:val="none" w:sz="0" w:space="0" w:color="auto"/>
        <w:right w:val="none" w:sz="0" w:space="0" w:color="auto"/>
      </w:divBdr>
    </w:div>
    <w:div w:id="1157500711">
      <w:bodyDiv w:val="1"/>
      <w:marLeft w:val="0"/>
      <w:marRight w:val="0"/>
      <w:marTop w:val="0"/>
      <w:marBottom w:val="0"/>
      <w:divBdr>
        <w:top w:val="none" w:sz="0" w:space="0" w:color="auto"/>
        <w:left w:val="none" w:sz="0" w:space="0" w:color="auto"/>
        <w:bottom w:val="none" w:sz="0" w:space="0" w:color="auto"/>
        <w:right w:val="none" w:sz="0" w:space="0" w:color="auto"/>
      </w:divBdr>
    </w:div>
    <w:div w:id="1162431368">
      <w:bodyDiv w:val="1"/>
      <w:marLeft w:val="0"/>
      <w:marRight w:val="0"/>
      <w:marTop w:val="0"/>
      <w:marBottom w:val="0"/>
      <w:divBdr>
        <w:top w:val="none" w:sz="0" w:space="0" w:color="auto"/>
        <w:left w:val="none" w:sz="0" w:space="0" w:color="auto"/>
        <w:bottom w:val="none" w:sz="0" w:space="0" w:color="auto"/>
        <w:right w:val="none" w:sz="0" w:space="0" w:color="auto"/>
      </w:divBdr>
    </w:div>
    <w:div w:id="1174689778">
      <w:bodyDiv w:val="1"/>
      <w:marLeft w:val="0"/>
      <w:marRight w:val="0"/>
      <w:marTop w:val="0"/>
      <w:marBottom w:val="0"/>
      <w:divBdr>
        <w:top w:val="none" w:sz="0" w:space="0" w:color="auto"/>
        <w:left w:val="none" w:sz="0" w:space="0" w:color="auto"/>
        <w:bottom w:val="none" w:sz="0" w:space="0" w:color="auto"/>
        <w:right w:val="none" w:sz="0" w:space="0" w:color="auto"/>
      </w:divBdr>
    </w:div>
    <w:div w:id="1199660648">
      <w:bodyDiv w:val="1"/>
      <w:marLeft w:val="0"/>
      <w:marRight w:val="0"/>
      <w:marTop w:val="0"/>
      <w:marBottom w:val="0"/>
      <w:divBdr>
        <w:top w:val="none" w:sz="0" w:space="0" w:color="auto"/>
        <w:left w:val="none" w:sz="0" w:space="0" w:color="auto"/>
        <w:bottom w:val="none" w:sz="0" w:space="0" w:color="auto"/>
        <w:right w:val="none" w:sz="0" w:space="0" w:color="auto"/>
      </w:divBdr>
    </w:div>
    <w:div w:id="1205404037">
      <w:bodyDiv w:val="1"/>
      <w:marLeft w:val="0"/>
      <w:marRight w:val="0"/>
      <w:marTop w:val="0"/>
      <w:marBottom w:val="0"/>
      <w:divBdr>
        <w:top w:val="none" w:sz="0" w:space="0" w:color="auto"/>
        <w:left w:val="none" w:sz="0" w:space="0" w:color="auto"/>
        <w:bottom w:val="none" w:sz="0" w:space="0" w:color="auto"/>
        <w:right w:val="none" w:sz="0" w:space="0" w:color="auto"/>
      </w:divBdr>
    </w:div>
    <w:div w:id="1208562571">
      <w:bodyDiv w:val="1"/>
      <w:marLeft w:val="0"/>
      <w:marRight w:val="0"/>
      <w:marTop w:val="0"/>
      <w:marBottom w:val="0"/>
      <w:divBdr>
        <w:top w:val="none" w:sz="0" w:space="0" w:color="auto"/>
        <w:left w:val="none" w:sz="0" w:space="0" w:color="auto"/>
        <w:bottom w:val="none" w:sz="0" w:space="0" w:color="auto"/>
        <w:right w:val="none" w:sz="0" w:space="0" w:color="auto"/>
      </w:divBdr>
    </w:div>
    <w:div w:id="1227183032">
      <w:bodyDiv w:val="1"/>
      <w:marLeft w:val="0"/>
      <w:marRight w:val="0"/>
      <w:marTop w:val="0"/>
      <w:marBottom w:val="0"/>
      <w:divBdr>
        <w:top w:val="none" w:sz="0" w:space="0" w:color="auto"/>
        <w:left w:val="none" w:sz="0" w:space="0" w:color="auto"/>
        <w:bottom w:val="none" w:sz="0" w:space="0" w:color="auto"/>
        <w:right w:val="none" w:sz="0" w:space="0" w:color="auto"/>
      </w:divBdr>
    </w:div>
    <w:div w:id="1252934126">
      <w:bodyDiv w:val="1"/>
      <w:marLeft w:val="0"/>
      <w:marRight w:val="0"/>
      <w:marTop w:val="0"/>
      <w:marBottom w:val="0"/>
      <w:divBdr>
        <w:top w:val="none" w:sz="0" w:space="0" w:color="auto"/>
        <w:left w:val="none" w:sz="0" w:space="0" w:color="auto"/>
        <w:bottom w:val="none" w:sz="0" w:space="0" w:color="auto"/>
        <w:right w:val="none" w:sz="0" w:space="0" w:color="auto"/>
      </w:divBdr>
    </w:div>
    <w:div w:id="1275285033">
      <w:bodyDiv w:val="1"/>
      <w:marLeft w:val="0"/>
      <w:marRight w:val="0"/>
      <w:marTop w:val="0"/>
      <w:marBottom w:val="0"/>
      <w:divBdr>
        <w:top w:val="none" w:sz="0" w:space="0" w:color="auto"/>
        <w:left w:val="none" w:sz="0" w:space="0" w:color="auto"/>
        <w:bottom w:val="none" w:sz="0" w:space="0" w:color="auto"/>
        <w:right w:val="none" w:sz="0" w:space="0" w:color="auto"/>
      </w:divBdr>
    </w:div>
    <w:div w:id="1277981173">
      <w:bodyDiv w:val="1"/>
      <w:marLeft w:val="0"/>
      <w:marRight w:val="0"/>
      <w:marTop w:val="0"/>
      <w:marBottom w:val="0"/>
      <w:divBdr>
        <w:top w:val="none" w:sz="0" w:space="0" w:color="auto"/>
        <w:left w:val="none" w:sz="0" w:space="0" w:color="auto"/>
        <w:bottom w:val="none" w:sz="0" w:space="0" w:color="auto"/>
        <w:right w:val="none" w:sz="0" w:space="0" w:color="auto"/>
      </w:divBdr>
    </w:div>
    <w:div w:id="1312099882">
      <w:bodyDiv w:val="1"/>
      <w:marLeft w:val="0"/>
      <w:marRight w:val="0"/>
      <w:marTop w:val="0"/>
      <w:marBottom w:val="0"/>
      <w:divBdr>
        <w:top w:val="none" w:sz="0" w:space="0" w:color="auto"/>
        <w:left w:val="none" w:sz="0" w:space="0" w:color="auto"/>
        <w:bottom w:val="none" w:sz="0" w:space="0" w:color="auto"/>
        <w:right w:val="none" w:sz="0" w:space="0" w:color="auto"/>
      </w:divBdr>
    </w:div>
    <w:div w:id="1318067439">
      <w:bodyDiv w:val="1"/>
      <w:marLeft w:val="0"/>
      <w:marRight w:val="0"/>
      <w:marTop w:val="0"/>
      <w:marBottom w:val="0"/>
      <w:divBdr>
        <w:top w:val="none" w:sz="0" w:space="0" w:color="auto"/>
        <w:left w:val="none" w:sz="0" w:space="0" w:color="auto"/>
        <w:bottom w:val="none" w:sz="0" w:space="0" w:color="auto"/>
        <w:right w:val="none" w:sz="0" w:space="0" w:color="auto"/>
      </w:divBdr>
    </w:div>
    <w:div w:id="1347366313">
      <w:bodyDiv w:val="1"/>
      <w:marLeft w:val="0"/>
      <w:marRight w:val="0"/>
      <w:marTop w:val="0"/>
      <w:marBottom w:val="0"/>
      <w:divBdr>
        <w:top w:val="none" w:sz="0" w:space="0" w:color="auto"/>
        <w:left w:val="none" w:sz="0" w:space="0" w:color="auto"/>
        <w:bottom w:val="none" w:sz="0" w:space="0" w:color="auto"/>
        <w:right w:val="none" w:sz="0" w:space="0" w:color="auto"/>
      </w:divBdr>
    </w:div>
    <w:div w:id="1351686404">
      <w:bodyDiv w:val="1"/>
      <w:marLeft w:val="0"/>
      <w:marRight w:val="0"/>
      <w:marTop w:val="0"/>
      <w:marBottom w:val="0"/>
      <w:divBdr>
        <w:top w:val="none" w:sz="0" w:space="0" w:color="auto"/>
        <w:left w:val="none" w:sz="0" w:space="0" w:color="auto"/>
        <w:bottom w:val="none" w:sz="0" w:space="0" w:color="auto"/>
        <w:right w:val="none" w:sz="0" w:space="0" w:color="auto"/>
      </w:divBdr>
    </w:div>
    <w:div w:id="1381857852">
      <w:bodyDiv w:val="1"/>
      <w:marLeft w:val="0"/>
      <w:marRight w:val="0"/>
      <w:marTop w:val="0"/>
      <w:marBottom w:val="0"/>
      <w:divBdr>
        <w:top w:val="none" w:sz="0" w:space="0" w:color="auto"/>
        <w:left w:val="none" w:sz="0" w:space="0" w:color="auto"/>
        <w:bottom w:val="none" w:sz="0" w:space="0" w:color="auto"/>
        <w:right w:val="none" w:sz="0" w:space="0" w:color="auto"/>
      </w:divBdr>
    </w:div>
    <w:div w:id="1405251872">
      <w:bodyDiv w:val="1"/>
      <w:marLeft w:val="0"/>
      <w:marRight w:val="0"/>
      <w:marTop w:val="0"/>
      <w:marBottom w:val="0"/>
      <w:divBdr>
        <w:top w:val="none" w:sz="0" w:space="0" w:color="auto"/>
        <w:left w:val="none" w:sz="0" w:space="0" w:color="auto"/>
        <w:bottom w:val="none" w:sz="0" w:space="0" w:color="auto"/>
        <w:right w:val="none" w:sz="0" w:space="0" w:color="auto"/>
      </w:divBdr>
    </w:div>
    <w:div w:id="1414351711">
      <w:bodyDiv w:val="1"/>
      <w:marLeft w:val="0"/>
      <w:marRight w:val="0"/>
      <w:marTop w:val="0"/>
      <w:marBottom w:val="0"/>
      <w:divBdr>
        <w:top w:val="none" w:sz="0" w:space="0" w:color="auto"/>
        <w:left w:val="none" w:sz="0" w:space="0" w:color="auto"/>
        <w:bottom w:val="none" w:sz="0" w:space="0" w:color="auto"/>
        <w:right w:val="none" w:sz="0" w:space="0" w:color="auto"/>
      </w:divBdr>
    </w:div>
    <w:div w:id="1430927017">
      <w:bodyDiv w:val="1"/>
      <w:marLeft w:val="0"/>
      <w:marRight w:val="0"/>
      <w:marTop w:val="0"/>
      <w:marBottom w:val="0"/>
      <w:divBdr>
        <w:top w:val="none" w:sz="0" w:space="0" w:color="auto"/>
        <w:left w:val="none" w:sz="0" w:space="0" w:color="auto"/>
        <w:bottom w:val="none" w:sz="0" w:space="0" w:color="auto"/>
        <w:right w:val="none" w:sz="0" w:space="0" w:color="auto"/>
      </w:divBdr>
    </w:div>
    <w:div w:id="1450121958">
      <w:bodyDiv w:val="1"/>
      <w:marLeft w:val="0"/>
      <w:marRight w:val="0"/>
      <w:marTop w:val="0"/>
      <w:marBottom w:val="0"/>
      <w:divBdr>
        <w:top w:val="none" w:sz="0" w:space="0" w:color="auto"/>
        <w:left w:val="none" w:sz="0" w:space="0" w:color="auto"/>
        <w:bottom w:val="none" w:sz="0" w:space="0" w:color="auto"/>
        <w:right w:val="none" w:sz="0" w:space="0" w:color="auto"/>
      </w:divBdr>
    </w:div>
    <w:div w:id="1474954330">
      <w:bodyDiv w:val="1"/>
      <w:marLeft w:val="0"/>
      <w:marRight w:val="0"/>
      <w:marTop w:val="0"/>
      <w:marBottom w:val="0"/>
      <w:divBdr>
        <w:top w:val="none" w:sz="0" w:space="0" w:color="auto"/>
        <w:left w:val="none" w:sz="0" w:space="0" w:color="auto"/>
        <w:bottom w:val="none" w:sz="0" w:space="0" w:color="auto"/>
        <w:right w:val="none" w:sz="0" w:space="0" w:color="auto"/>
      </w:divBdr>
    </w:div>
    <w:div w:id="1500343384">
      <w:bodyDiv w:val="1"/>
      <w:marLeft w:val="0"/>
      <w:marRight w:val="0"/>
      <w:marTop w:val="0"/>
      <w:marBottom w:val="0"/>
      <w:divBdr>
        <w:top w:val="none" w:sz="0" w:space="0" w:color="auto"/>
        <w:left w:val="none" w:sz="0" w:space="0" w:color="auto"/>
        <w:bottom w:val="none" w:sz="0" w:space="0" w:color="auto"/>
        <w:right w:val="none" w:sz="0" w:space="0" w:color="auto"/>
      </w:divBdr>
    </w:div>
    <w:div w:id="1513572156">
      <w:bodyDiv w:val="1"/>
      <w:marLeft w:val="0"/>
      <w:marRight w:val="0"/>
      <w:marTop w:val="0"/>
      <w:marBottom w:val="0"/>
      <w:divBdr>
        <w:top w:val="none" w:sz="0" w:space="0" w:color="auto"/>
        <w:left w:val="none" w:sz="0" w:space="0" w:color="auto"/>
        <w:bottom w:val="none" w:sz="0" w:space="0" w:color="auto"/>
        <w:right w:val="none" w:sz="0" w:space="0" w:color="auto"/>
      </w:divBdr>
    </w:div>
    <w:div w:id="1524785943">
      <w:bodyDiv w:val="1"/>
      <w:marLeft w:val="0"/>
      <w:marRight w:val="0"/>
      <w:marTop w:val="0"/>
      <w:marBottom w:val="0"/>
      <w:divBdr>
        <w:top w:val="none" w:sz="0" w:space="0" w:color="auto"/>
        <w:left w:val="none" w:sz="0" w:space="0" w:color="auto"/>
        <w:bottom w:val="none" w:sz="0" w:space="0" w:color="auto"/>
        <w:right w:val="none" w:sz="0" w:space="0" w:color="auto"/>
      </w:divBdr>
    </w:div>
    <w:div w:id="1532380242">
      <w:bodyDiv w:val="1"/>
      <w:marLeft w:val="0"/>
      <w:marRight w:val="0"/>
      <w:marTop w:val="0"/>
      <w:marBottom w:val="0"/>
      <w:divBdr>
        <w:top w:val="none" w:sz="0" w:space="0" w:color="auto"/>
        <w:left w:val="none" w:sz="0" w:space="0" w:color="auto"/>
        <w:bottom w:val="none" w:sz="0" w:space="0" w:color="auto"/>
        <w:right w:val="none" w:sz="0" w:space="0" w:color="auto"/>
      </w:divBdr>
    </w:div>
    <w:div w:id="1533768584">
      <w:bodyDiv w:val="1"/>
      <w:marLeft w:val="0"/>
      <w:marRight w:val="0"/>
      <w:marTop w:val="0"/>
      <w:marBottom w:val="0"/>
      <w:divBdr>
        <w:top w:val="none" w:sz="0" w:space="0" w:color="auto"/>
        <w:left w:val="none" w:sz="0" w:space="0" w:color="auto"/>
        <w:bottom w:val="none" w:sz="0" w:space="0" w:color="auto"/>
        <w:right w:val="none" w:sz="0" w:space="0" w:color="auto"/>
      </w:divBdr>
    </w:div>
    <w:div w:id="1553074223">
      <w:bodyDiv w:val="1"/>
      <w:marLeft w:val="0"/>
      <w:marRight w:val="0"/>
      <w:marTop w:val="0"/>
      <w:marBottom w:val="0"/>
      <w:divBdr>
        <w:top w:val="none" w:sz="0" w:space="0" w:color="auto"/>
        <w:left w:val="none" w:sz="0" w:space="0" w:color="auto"/>
        <w:bottom w:val="none" w:sz="0" w:space="0" w:color="auto"/>
        <w:right w:val="none" w:sz="0" w:space="0" w:color="auto"/>
      </w:divBdr>
    </w:div>
    <w:div w:id="1560289838">
      <w:bodyDiv w:val="1"/>
      <w:marLeft w:val="0"/>
      <w:marRight w:val="0"/>
      <w:marTop w:val="0"/>
      <w:marBottom w:val="0"/>
      <w:divBdr>
        <w:top w:val="none" w:sz="0" w:space="0" w:color="auto"/>
        <w:left w:val="none" w:sz="0" w:space="0" w:color="auto"/>
        <w:bottom w:val="none" w:sz="0" w:space="0" w:color="auto"/>
        <w:right w:val="none" w:sz="0" w:space="0" w:color="auto"/>
      </w:divBdr>
    </w:div>
    <w:div w:id="1575506637">
      <w:bodyDiv w:val="1"/>
      <w:marLeft w:val="0"/>
      <w:marRight w:val="0"/>
      <w:marTop w:val="0"/>
      <w:marBottom w:val="0"/>
      <w:divBdr>
        <w:top w:val="none" w:sz="0" w:space="0" w:color="auto"/>
        <w:left w:val="none" w:sz="0" w:space="0" w:color="auto"/>
        <w:bottom w:val="none" w:sz="0" w:space="0" w:color="auto"/>
        <w:right w:val="none" w:sz="0" w:space="0" w:color="auto"/>
      </w:divBdr>
    </w:div>
    <w:div w:id="1650553984">
      <w:bodyDiv w:val="1"/>
      <w:marLeft w:val="0"/>
      <w:marRight w:val="0"/>
      <w:marTop w:val="0"/>
      <w:marBottom w:val="0"/>
      <w:divBdr>
        <w:top w:val="none" w:sz="0" w:space="0" w:color="auto"/>
        <w:left w:val="none" w:sz="0" w:space="0" w:color="auto"/>
        <w:bottom w:val="none" w:sz="0" w:space="0" w:color="auto"/>
        <w:right w:val="none" w:sz="0" w:space="0" w:color="auto"/>
      </w:divBdr>
    </w:div>
    <w:div w:id="1701516346">
      <w:bodyDiv w:val="1"/>
      <w:marLeft w:val="0"/>
      <w:marRight w:val="0"/>
      <w:marTop w:val="0"/>
      <w:marBottom w:val="0"/>
      <w:divBdr>
        <w:top w:val="none" w:sz="0" w:space="0" w:color="auto"/>
        <w:left w:val="none" w:sz="0" w:space="0" w:color="auto"/>
        <w:bottom w:val="none" w:sz="0" w:space="0" w:color="auto"/>
        <w:right w:val="none" w:sz="0" w:space="0" w:color="auto"/>
      </w:divBdr>
    </w:div>
    <w:div w:id="1705790907">
      <w:bodyDiv w:val="1"/>
      <w:marLeft w:val="0"/>
      <w:marRight w:val="0"/>
      <w:marTop w:val="0"/>
      <w:marBottom w:val="0"/>
      <w:divBdr>
        <w:top w:val="none" w:sz="0" w:space="0" w:color="auto"/>
        <w:left w:val="none" w:sz="0" w:space="0" w:color="auto"/>
        <w:bottom w:val="none" w:sz="0" w:space="0" w:color="auto"/>
        <w:right w:val="none" w:sz="0" w:space="0" w:color="auto"/>
      </w:divBdr>
    </w:div>
    <w:div w:id="1708095712">
      <w:bodyDiv w:val="1"/>
      <w:marLeft w:val="0"/>
      <w:marRight w:val="0"/>
      <w:marTop w:val="0"/>
      <w:marBottom w:val="0"/>
      <w:divBdr>
        <w:top w:val="none" w:sz="0" w:space="0" w:color="auto"/>
        <w:left w:val="none" w:sz="0" w:space="0" w:color="auto"/>
        <w:bottom w:val="none" w:sz="0" w:space="0" w:color="auto"/>
        <w:right w:val="none" w:sz="0" w:space="0" w:color="auto"/>
      </w:divBdr>
    </w:div>
    <w:div w:id="1726221407">
      <w:bodyDiv w:val="1"/>
      <w:marLeft w:val="0"/>
      <w:marRight w:val="0"/>
      <w:marTop w:val="0"/>
      <w:marBottom w:val="0"/>
      <w:divBdr>
        <w:top w:val="none" w:sz="0" w:space="0" w:color="auto"/>
        <w:left w:val="none" w:sz="0" w:space="0" w:color="auto"/>
        <w:bottom w:val="none" w:sz="0" w:space="0" w:color="auto"/>
        <w:right w:val="none" w:sz="0" w:space="0" w:color="auto"/>
      </w:divBdr>
    </w:div>
    <w:div w:id="1726559873">
      <w:bodyDiv w:val="1"/>
      <w:marLeft w:val="0"/>
      <w:marRight w:val="0"/>
      <w:marTop w:val="0"/>
      <w:marBottom w:val="0"/>
      <w:divBdr>
        <w:top w:val="none" w:sz="0" w:space="0" w:color="auto"/>
        <w:left w:val="none" w:sz="0" w:space="0" w:color="auto"/>
        <w:bottom w:val="none" w:sz="0" w:space="0" w:color="auto"/>
        <w:right w:val="none" w:sz="0" w:space="0" w:color="auto"/>
      </w:divBdr>
    </w:div>
    <w:div w:id="1754282396">
      <w:bodyDiv w:val="1"/>
      <w:marLeft w:val="0"/>
      <w:marRight w:val="0"/>
      <w:marTop w:val="0"/>
      <w:marBottom w:val="0"/>
      <w:divBdr>
        <w:top w:val="none" w:sz="0" w:space="0" w:color="auto"/>
        <w:left w:val="none" w:sz="0" w:space="0" w:color="auto"/>
        <w:bottom w:val="none" w:sz="0" w:space="0" w:color="auto"/>
        <w:right w:val="none" w:sz="0" w:space="0" w:color="auto"/>
      </w:divBdr>
    </w:div>
    <w:div w:id="1786919994">
      <w:bodyDiv w:val="1"/>
      <w:marLeft w:val="0"/>
      <w:marRight w:val="0"/>
      <w:marTop w:val="0"/>
      <w:marBottom w:val="0"/>
      <w:divBdr>
        <w:top w:val="none" w:sz="0" w:space="0" w:color="auto"/>
        <w:left w:val="none" w:sz="0" w:space="0" w:color="auto"/>
        <w:bottom w:val="none" w:sz="0" w:space="0" w:color="auto"/>
        <w:right w:val="none" w:sz="0" w:space="0" w:color="auto"/>
      </w:divBdr>
    </w:div>
    <w:div w:id="1891840257">
      <w:bodyDiv w:val="1"/>
      <w:marLeft w:val="0"/>
      <w:marRight w:val="0"/>
      <w:marTop w:val="0"/>
      <w:marBottom w:val="0"/>
      <w:divBdr>
        <w:top w:val="none" w:sz="0" w:space="0" w:color="auto"/>
        <w:left w:val="none" w:sz="0" w:space="0" w:color="auto"/>
        <w:bottom w:val="none" w:sz="0" w:space="0" w:color="auto"/>
        <w:right w:val="none" w:sz="0" w:space="0" w:color="auto"/>
      </w:divBdr>
    </w:div>
    <w:div w:id="1929851150">
      <w:bodyDiv w:val="1"/>
      <w:marLeft w:val="0"/>
      <w:marRight w:val="0"/>
      <w:marTop w:val="0"/>
      <w:marBottom w:val="0"/>
      <w:divBdr>
        <w:top w:val="none" w:sz="0" w:space="0" w:color="auto"/>
        <w:left w:val="none" w:sz="0" w:space="0" w:color="auto"/>
        <w:bottom w:val="none" w:sz="0" w:space="0" w:color="auto"/>
        <w:right w:val="none" w:sz="0" w:space="0" w:color="auto"/>
      </w:divBdr>
    </w:div>
    <w:div w:id="1934313969">
      <w:bodyDiv w:val="1"/>
      <w:marLeft w:val="0"/>
      <w:marRight w:val="0"/>
      <w:marTop w:val="0"/>
      <w:marBottom w:val="0"/>
      <w:divBdr>
        <w:top w:val="none" w:sz="0" w:space="0" w:color="auto"/>
        <w:left w:val="none" w:sz="0" w:space="0" w:color="auto"/>
        <w:bottom w:val="none" w:sz="0" w:space="0" w:color="auto"/>
        <w:right w:val="none" w:sz="0" w:space="0" w:color="auto"/>
      </w:divBdr>
    </w:div>
    <w:div w:id="1945113812">
      <w:bodyDiv w:val="1"/>
      <w:marLeft w:val="0"/>
      <w:marRight w:val="0"/>
      <w:marTop w:val="0"/>
      <w:marBottom w:val="0"/>
      <w:divBdr>
        <w:top w:val="none" w:sz="0" w:space="0" w:color="auto"/>
        <w:left w:val="none" w:sz="0" w:space="0" w:color="auto"/>
        <w:bottom w:val="none" w:sz="0" w:space="0" w:color="auto"/>
        <w:right w:val="none" w:sz="0" w:space="0" w:color="auto"/>
      </w:divBdr>
    </w:div>
    <w:div w:id="1950772993">
      <w:bodyDiv w:val="1"/>
      <w:marLeft w:val="0"/>
      <w:marRight w:val="0"/>
      <w:marTop w:val="0"/>
      <w:marBottom w:val="0"/>
      <w:divBdr>
        <w:top w:val="none" w:sz="0" w:space="0" w:color="auto"/>
        <w:left w:val="none" w:sz="0" w:space="0" w:color="auto"/>
        <w:bottom w:val="none" w:sz="0" w:space="0" w:color="auto"/>
        <w:right w:val="none" w:sz="0" w:space="0" w:color="auto"/>
      </w:divBdr>
    </w:div>
    <w:div w:id="1961760956">
      <w:bodyDiv w:val="1"/>
      <w:marLeft w:val="0"/>
      <w:marRight w:val="0"/>
      <w:marTop w:val="0"/>
      <w:marBottom w:val="0"/>
      <w:divBdr>
        <w:top w:val="none" w:sz="0" w:space="0" w:color="auto"/>
        <w:left w:val="none" w:sz="0" w:space="0" w:color="auto"/>
        <w:bottom w:val="none" w:sz="0" w:space="0" w:color="auto"/>
        <w:right w:val="none" w:sz="0" w:space="0" w:color="auto"/>
      </w:divBdr>
    </w:div>
    <w:div w:id="1990212411">
      <w:bodyDiv w:val="1"/>
      <w:marLeft w:val="0"/>
      <w:marRight w:val="0"/>
      <w:marTop w:val="0"/>
      <w:marBottom w:val="0"/>
      <w:divBdr>
        <w:top w:val="none" w:sz="0" w:space="0" w:color="auto"/>
        <w:left w:val="none" w:sz="0" w:space="0" w:color="auto"/>
        <w:bottom w:val="none" w:sz="0" w:space="0" w:color="auto"/>
        <w:right w:val="none" w:sz="0" w:space="0" w:color="auto"/>
      </w:divBdr>
    </w:div>
    <w:div w:id="1994870417">
      <w:bodyDiv w:val="1"/>
      <w:marLeft w:val="0"/>
      <w:marRight w:val="0"/>
      <w:marTop w:val="0"/>
      <w:marBottom w:val="0"/>
      <w:divBdr>
        <w:top w:val="none" w:sz="0" w:space="0" w:color="auto"/>
        <w:left w:val="none" w:sz="0" w:space="0" w:color="auto"/>
        <w:bottom w:val="none" w:sz="0" w:space="0" w:color="auto"/>
        <w:right w:val="none" w:sz="0" w:space="0" w:color="auto"/>
      </w:divBdr>
    </w:div>
    <w:div w:id="2046321178">
      <w:bodyDiv w:val="1"/>
      <w:marLeft w:val="0"/>
      <w:marRight w:val="0"/>
      <w:marTop w:val="0"/>
      <w:marBottom w:val="0"/>
      <w:divBdr>
        <w:top w:val="none" w:sz="0" w:space="0" w:color="auto"/>
        <w:left w:val="none" w:sz="0" w:space="0" w:color="auto"/>
        <w:bottom w:val="none" w:sz="0" w:space="0" w:color="auto"/>
        <w:right w:val="none" w:sz="0" w:space="0" w:color="auto"/>
      </w:divBdr>
    </w:div>
    <w:div w:id="21410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CC943F1B71143A368CE1BF80E9E28" ma:contentTypeVersion="17" ma:contentTypeDescription="Create a new document." ma:contentTypeScope="" ma:versionID="aecb5c8eb420099c4461b974a1e25ba6">
  <xsd:schema xmlns:xsd="http://www.w3.org/2001/XMLSchema" xmlns:xs="http://www.w3.org/2001/XMLSchema" xmlns:p="http://schemas.microsoft.com/office/2006/metadata/properties" xmlns:ns2="a00393b7-6255-459e-89cf-16671be275a6" xmlns:ns3="219380ff-57d3-4995-a863-48eec5a0f8b8" targetNamespace="http://schemas.microsoft.com/office/2006/metadata/properties" ma:root="true" ma:fieldsID="33a38a1be986c5600152eee9e8ae0572" ns2:_="" ns3:_="">
    <xsd:import namespace="a00393b7-6255-459e-89cf-16671be275a6"/>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393b7-6255-459e-89cf-16671be27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9380ff-57d3-4995-a863-48eec5a0f8b8" xsi:nil="true"/>
    <lcf76f155ced4ddcb4097134ff3c332f xmlns="a00393b7-6255-459e-89cf-16671be27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80444-EC3B-458A-8656-3C6FD3CD2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393b7-6255-459e-89cf-16671be275a6"/>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FBE1E-AB17-4D3C-8DCB-03AD81CE5725}">
  <ds:schemaRefs>
    <ds:schemaRef ds:uri="http://schemas.microsoft.com/office/2006/metadata/properties"/>
    <ds:schemaRef ds:uri="http://schemas.microsoft.com/office/infopath/2007/PartnerControls"/>
    <ds:schemaRef ds:uri="219380ff-57d3-4995-a863-48eec5a0f8b8"/>
    <ds:schemaRef ds:uri="a00393b7-6255-459e-89cf-16671be275a6"/>
  </ds:schemaRefs>
</ds:datastoreItem>
</file>

<file path=customXml/itemProps3.xml><?xml version="1.0" encoding="utf-8"?>
<ds:datastoreItem xmlns:ds="http://schemas.openxmlformats.org/officeDocument/2006/customXml" ds:itemID="{29C888FF-9179-4B2F-98E6-1E3BFCDCF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24</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Greenville Procurement Partners Ltd;</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Greenville Procurement Partners Ltd</dc:creator>
  <cp:keywords/>
  <dc:description/>
  <cp:lastModifiedBy>Samrat Paul</cp:lastModifiedBy>
  <cp:revision>121</cp:revision>
  <cp:lastPrinted>2021-10-20T18:47:00Z</cp:lastPrinted>
  <dcterms:created xsi:type="dcterms:W3CDTF">2026-06-29T08:22:00Z</dcterms:created>
  <dcterms:modified xsi:type="dcterms:W3CDTF">2026-06-29T13:40:00Z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0x010100525CC943F1B71143A368CE1BF80E9E28</vt:lpwstr>
  </property>
  <property fmtid="{D5CDD505-2E9C-101B-9397-08002B2CF9AE}" pid="3" name="MediaServiceImageTags">
    <vt:lpwstr/>
  </property>
  <property fmtid="{D5CDD505-2E9C-101B-9397-08002B2CF9AE}" pid="4" name="MSIP_Label_ffd6aabd-01ad-4123-8401-56bab809a6ab_Enabled">
    <vt:lpwstr>true</vt:lpwstr>
  </property>
  <property fmtid="{D5CDD505-2E9C-101B-9397-08002B2CF9AE}" pid="5" name="MSIP_Label_ffd6aabd-01ad-4123-8401-56bab809a6ab_SetDate">
    <vt:lpwstr>2026-06-29T08:22:20Z</vt:lpwstr>
  </property>
  <property fmtid="{D5CDD505-2E9C-101B-9397-08002B2CF9AE}" pid="6" name="MSIP_Label_ffd6aabd-01ad-4123-8401-56bab809a6ab_Method">
    <vt:lpwstr>Standard</vt:lpwstr>
  </property>
  <property fmtid="{D5CDD505-2E9C-101B-9397-08002B2CF9AE}" pid="7" name="MSIP_Label_ffd6aabd-01ad-4123-8401-56bab809a6ab_Name">
    <vt:lpwstr>LGMA-Internal-POC</vt:lpwstr>
  </property>
  <property fmtid="{D5CDD505-2E9C-101B-9397-08002B2CF9AE}" pid="8" name="MSIP_Label_ffd6aabd-01ad-4123-8401-56bab809a6ab_SiteId">
    <vt:lpwstr>ef22ca07-ab07-4cf9-8562-d5c5bb0416f4</vt:lpwstr>
  </property>
  <property fmtid="{D5CDD505-2E9C-101B-9397-08002B2CF9AE}" pid="9" name="MSIP_Label_ffd6aabd-01ad-4123-8401-56bab809a6ab_ActionId">
    <vt:lpwstr>ab816e71-f509-49ea-949c-cf1a1dd64876</vt:lpwstr>
  </property>
  <property fmtid="{D5CDD505-2E9C-101B-9397-08002B2CF9AE}" pid="10" name="MSIP_Label_ffd6aabd-01ad-4123-8401-56bab809a6ab_ContentBits">
    <vt:lpwstr>0</vt:lpwstr>
  </property>
  <property fmtid="{D5CDD505-2E9C-101B-9397-08002B2CF9AE}" pid="11" name="MSIP_Label_ffd6aabd-01ad-4123-8401-56bab809a6ab_Tag">
    <vt:lpwstr>10, 3, 0, 1</vt:lpwstr>
  </property>
</Properties>
</file>