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1B5C" w14:textId="77777777" w:rsidR="004F6A21" w:rsidRDefault="004F6A21" w:rsidP="004F6A21">
      <w:pPr>
        <w:autoSpaceDE w:val="0"/>
        <w:autoSpaceDN w:val="0"/>
        <w:adjustRightInd w:val="0"/>
        <w:spacing w:after="0" w:line="240" w:lineRule="auto"/>
        <w:jc w:val="center"/>
        <w:rPr>
          <w:rFonts w:cs="MyriadPro-Light"/>
          <w:b/>
          <w:color w:val="235D64"/>
          <w:sz w:val="52"/>
          <w:szCs w:val="36"/>
          <w:lang w:bidi="en-US"/>
        </w:rPr>
      </w:pPr>
    </w:p>
    <w:p w14:paraId="49096380" w14:textId="77777777" w:rsidR="004F6A21" w:rsidRDefault="004F6A21" w:rsidP="004F6A21">
      <w:pPr>
        <w:autoSpaceDE w:val="0"/>
        <w:autoSpaceDN w:val="0"/>
        <w:adjustRightInd w:val="0"/>
        <w:spacing w:after="0" w:line="240" w:lineRule="auto"/>
        <w:jc w:val="center"/>
        <w:rPr>
          <w:rFonts w:cs="MyriadPro-Light"/>
          <w:b/>
          <w:color w:val="235D64"/>
          <w:sz w:val="52"/>
          <w:szCs w:val="36"/>
          <w:lang w:bidi="en-US"/>
        </w:rPr>
      </w:pPr>
    </w:p>
    <w:p w14:paraId="5A683E04" w14:textId="2AD3BEDE" w:rsidR="004F6A21" w:rsidRDefault="00A4070B" w:rsidP="00892CCB">
      <w:pPr>
        <w:autoSpaceDE w:val="0"/>
        <w:autoSpaceDN w:val="0"/>
        <w:adjustRightInd w:val="0"/>
        <w:spacing w:after="0" w:line="240" w:lineRule="auto"/>
        <w:ind w:firstLine="360"/>
        <w:jc w:val="center"/>
        <w:rPr>
          <w:rFonts w:cs="MyriadPro-Light"/>
          <w:b/>
          <w:color w:val="235D64"/>
          <w:sz w:val="36"/>
          <w:szCs w:val="36"/>
          <w:lang w:bidi="en-US"/>
        </w:rPr>
      </w:pPr>
      <w:r>
        <w:rPr>
          <w:rFonts w:cs="MyriadPro-Light"/>
          <w:b/>
          <w:color w:val="235D64"/>
          <w:sz w:val="36"/>
          <w:szCs w:val="36"/>
          <w:lang w:bidi="en-US"/>
        </w:rPr>
        <w:t>Request For Tender</w:t>
      </w:r>
      <w:r w:rsidR="00892CCB" w:rsidRPr="00892CCB">
        <w:rPr>
          <w:rFonts w:cs="MyriadPro-Light"/>
          <w:b/>
          <w:color w:val="235D64"/>
          <w:sz w:val="36"/>
          <w:szCs w:val="36"/>
          <w:lang w:bidi="en-US"/>
        </w:rPr>
        <w:t xml:space="preserve"> for the Provision of </w:t>
      </w:r>
      <w:r w:rsidR="00147B8E">
        <w:rPr>
          <w:rFonts w:cs="MyriadPro-Light"/>
          <w:b/>
          <w:color w:val="235D64"/>
          <w:sz w:val="36"/>
          <w:szCs w:val="36"/>
          <w:lang w:bidi="en-US"/>
        </w:rPr>
        <w:t>a</w:t>
      </w:r>
      <w:r w:rsidR="00147B8E" w:rsidRPr="00147B8E">
        <w:rPr>
          <w:rFonts w:cs="MyriadPro-Light"/>
          <w:b/>
          <w:color w:val="235D64"/>
          <w:sz w:val="36"/>
          <w:szCs w:val="36"/>
          <w:lang w:bidi="en-US"/>
        </w:rPr>
        <w:t xml:space="preserve"> Team of Skilled Resources to Provide Administration and Support for an Enterprise Application Server environment centred on Oracle Weblogic and Oracle iAS</w:t>
      </w:r>
    </w:p>
    <w:p w14:paraId="7B408261" w14:textId="32130177" w:rsidR="00F875B9" w:rsidRDefault="00F875B9" w:rsidP="00892CCB">
      <w:pPr>
        <w:autoSpaceDE w:val="0"/>
        <w:autoSpaceDN w:val="0"/>
        <w:adjustRightInd w:val="0"/>
        <w:spacing w:after="0" w:line="240" w:lineRule="auto"/>
        <w:ind w:firstLine="360"/>
        <w:jc w:val="center"/>
        <w:rPr>
          <w:rFonts w:cs="MyriadPro-Light"/>
          <w:b/>
          <w:color w:val="235D64"/>
          <w:sz w:val="36"/>
          <w:szCs w:val="36"/>
          <w:lang w:bidi="en-US"/>
        </w:rPr>
      </w:pPr>
    </w:p>
    <w:p w14:paraId="6C2016F6" w14:textId="77777777" w:rsidR="004F6A21" w:rsidRPr="003C17A8" w:rsidRDefault="004F6A21" w:rsidP="004F6A21">
      <w:pPr>
        <w:autoSpaceDE w:val="0"/>
        <w:autoSpaceDN w:val="0"/>
        <w:adjustRightInd w:val="0"/>
        <w:spacing w:after="0" w:line="240" w:lineRule="auto"/>
        <w:ind w:firstLine="360"/>
        <w:rPr>
          <w:rFonts w:cs="MyriadPro-Light"/>
          <w:b/>
          <w:color w:val="235D64"/>
          <w:sz w:val="36"/>
          <w:szCs w:val="36"/>
          <w:lang w:bidi="en-US"/>
        </w:rPr>
      </w:pPr>
    </w:p>
    <w:p w14:paraId="261DD0B5" w14:textId="2C50105E" w:rsidR="004F6A21" w:rsidRDefault="004D5F88" w:rsidP="00DB0D3F">
      <w:pPr>
        <w:jc w:val="center"/>
        <w:rPr>
          <w:rFonts w:ascii="Arial" w:hAnsi="Arial" w:cs="Arial"/>
          <w:b/>
          <w:color w:val="57AEA5" w:themeColor="accent1"/>
          <w:sz w:val="48"/>
          <w:szCs w:val="40"/>
        </w:rPr>
      </w:pPr>
      <w:r w:rsidRPr="00042AEC">
        <w:rPr>
          <w:rFonts w:ascii="Arial" w:hAnsi="Arial" w:cs="Arial"/>
          <w:b/>
          <w:color w:val="57AEA5" w:themeColor="accent1"/>
          <w:sz w:val="48"/>
          <w:szCs w:val="40"/>
        </w:rPr>
        <w:t xml:space="preserve">Tender </w:t>
      </w:r>
      <w:r w:rsidR="004F6A21" w:rsidRPr="00042AEC">
        <w:rPr>
          <w:rFonts w:ascii="Arial" w:hAnsi="Arial" w:cs="Arial"/>
          <w:b/>
          <w:color w:val="57AEA5" w:themeColor="accent1"/>
          <w:sz w:val="48"/>
          <w:szCs w:val="40"/>
        </w:rPr>
        <w:t>Response Document</w:t>
      </w:r>
    </w:p>
    <w:p w14:paraId="3E1C3F6F" w14:textId="5E4B2542" w:rsidR="008917AD" w:rsidRPr="008917AD" w:rsidRDefault="005F5CB3" w:rsidP="008917AD">
      <w:pPr>
        <w:pStyle w:val="ListParagraph"/>
        <w:numPr>
          <w:ilvl w:val="0"/>
          <w:numId w:val="56"/>
        </w:numPr>
        <w:jc w:val="center"/>
        <w:rPr>
          <w:rFonts w:ascii="Arial" w:hAnsi="Arial" w:cs="Arial"/>
          <w:b/>
          <w:color w:val="57AEA5" w:themeColor="accent1"/>
          <w:sz w:val="48"/>
          <w:szCs w:val="40"/>
        </w:rPr>
      </w:pPr>
      <w:r>
        <w:rPr>
          <w:rFonts w:ascii="Arial" w:hAnsi="Arial" w:cs="Arial"/>
          <w:b/>
          <w:color w:val="57AEA5" w:themeColor="accent1"/>
          <w:sz w:val="48"/>
          <w:szCs w:val="40"/>
        </w:rPr>
        <w:t>Pricing Schedule</w:t>
      </w:r>
    </w:p>
    <w:p w14:paraId="08A0DCEA" w14:textId="5B3E046D" w:rsidR="008917AD" w:rsidRPr="008917AD" w:rsidRDefault="005F5CB3" w:rsidP="008917AD">
      <w:pPr>
        <w:pStyle w:val="ListParagraph"/>
        <w:numPr>
          <w:ilvl w:val="0"/>
          <w:numId w:val="56"/>
        </w:numPr>
        <w:jc w:val="center"/>
        <w:rPr>
          <w:rFonts w:ascii="Arial" w:hAnsi="Arial" w:cs="Arial"/>
          <w:b/>
          <w:color w:val="57AEA5" w:themeColor="accent1"/>
          <w:sz w:val="48"/>
          <w:szCs w:val="40"/>
        </w:rPr>
      </w:pPr>
      <w:r>
        <w:rPr>
          <w:rFonts w:ascii="Arial" w:hAnsi="Arial" w:cs="Arial"/>
          <w:b/>
          <w:color w:val="57AEA5" w:themeColor="accent1"/>
          <w:sz w:val="48"/>
          <w:szCs w:val="40"/>
        </w:rPr>
        <w:t>Price Review Mechanism</w:t>
      </w:r>
    </w:p>
    <w:p w14:paraId="60DC749D" w14:textId="51B5E82D" w:rsidR="004F6A21" w:rsidRPr="004F6A21" w:rsidRDefault="008B2D59" w:rsidP="00DB0D3F">
      <w:pPr>
        <w:jc w:val="center"/>
        <w:rPr>
          <w:rFonts w:asciiTheme="majorHAnsi" w:hAnsiTheme="majorHAnsi" w:cstheme="majorHAnsi"/>
          <w:b/>
          <w:i/>
          <w:color w:val="4486CF" w:themeColor="accent6" w:themeShade="BF"/>
          <w:sz w:val="40"/>
          <w:szCs w:val="40"/>
        </w:rPr>
      </w:pPr>
      <w:bookmarkStart w:id="0" w:name="_Hlk201828219"/>
      <w:r>
        <w:rPr>
          <w:rFonts w:asciiTheme="majorHAnsi" w:hAnsiTheme="majorHAnsi" w:cstheme="majorHAnsi"/>
          <w:b/>
          <w:i/>
          <w:color w:val="57AEA5" w:themeColor="accent1"/>
          <w:sz w:val="40"/>
          <w:szCs w:val="40"/>
        </w:rPr>
        <w:t>The Department of Agriculture, Food and the Marine</w:t>
      </w:r>
    </w:p>
    <w:bookmarkEnd w:id="0"/>
    <w:p w14:paraId="0472821B" w14:textId="77777777" w:rsidR="004F6A21" w:rsidRDefault="004F6A21" w:rsidP="004F6A21">
      <w:pPr>
        <w:ind w:firstLine="360"/>
        <w:rPr>
          <w:rFonts w:eastAsiaTheme="minorEastAsia"/>
          <w:color w:val="235D64"/>
          <w:lang w:val="en-US" w:bidi="en-US"/>
        </w:rPr>
      </w:pPr>
    </w:p>
    <w:p w14:paraId="6ED13C78" w14:textId="77777777" w:rsidR="004F6A21" w:rsidRPr="00917E20" w:rsidRDefault="004F6A21" w:rsidP="004F6A21">
      <w:pPr>
        <w:ind w:firstLine="360"/>
        <w:rPr>
          <w:rFonts w:eastAsiaTheme="minorEastAsia"/>
          <w:b/>
          <w:bCs/>
          <w:color w:val="235D64"/>
          <w:sz w:val="40"/>
          <w:szCs w:val="40"/>
          <w:lang w:val="en-US" w:bidi="en-US"/>
        </w:rPr>
      </w:pPr>
    </w:p>
    <w:p w14:paraId="4E70ACC9" w14:textId="77777777" w:rsidR="004F6A21" w:rsidRPr="003C17A8" w:rsidRDefault="004F6A21" w:rsidP="004F6A21">
      <w:pPr>
        <w:ind w:firstLine="360"/>
        <w:rPr>
          <w:rFonts w:eastAsiaTheme="minorEastAsia"/>
          <w:lang w:val="en-US" w:bidi="en-US"/>
        </w:rPr>
      </w:pPr>
    </w:p>
    <w:p w14:paraId="53A1863E" w14:textId="77777777" w:rsidR="004F6A21" w:rsidRPr="003C17A8" w:rsidRDefault="004F6A21" w:rsidP="004F6A21">
      <w:pPr>
        <w:ind w:firstLine="360"/>
        <w:rPr>
          <w:rFonts w:eastAsiaTheme="minorEastAsia"/>
          <w:lang w:val="en-US" w:bidi="en-US"/>
        </w:rPr>
      </w:pPr>
    </w:p>
    <w:p w14:paraId="76A7CF96" w14:textId="77777777" w:rsidR="004F6A21" w:rsidRPr="003C17A8" w:rsidRDefault="004F6A21" w:rsidP="004F6A21">
      <w:pPr>
        <w:ind w:firstLine="360"/>
        <w:rPr>
          <w:rFonts w:eastAsiaTheme="minorEastAsia"/>
          <w:lang w:val="en-US" w:bidi="en-US"/>
        </w:rPr>
      </w:pPr>
    </w:p>
    <w:p w14:paraId="1ED3B03F" w14:textId="77777777" w:rsidR="004F6A21" w:rsidRPr="003C17A8" w:rsidRDefault="004F6A21" w:rsidP="004F6A21">
      <w:pPr>
        <w:ind w:firstLine="360"/>
        <w:rPr>
          <w:rFonts w:eastAsiaTheme="minorEastAsia"/>
          <w:lang w:val="en-US" w:bidi="en-US"/>
        </w:rPr>
      </w:pPr>
    </w:p>
    <w:p w14:paraId="401434FB" w14:textId="77777777" w:rsidR="004F6A21" w:rsidRDefault="004F6A21" w:rsidP="004F6A21">
      <w:pPr>
        <w:autoSpaceDE w:val="0"/>
        <w:autoSpaceDN w:val="0"/>
        <w:adjustRightInd w:val="0"/>
        <w:spacing w:after="0" w:line="276" w:lineRule="auto"/>
        <w:jc w:val="both"/>
        <w:rPr>
          <w:rFonts w:cs="MyriadPro-Light"/>
          <w:b/>
          <w:color w:val="2A5853" w:themeColor="accent1" w:themeShade="80"/>
          <w:sz w:val="36"/>
          <w:szCs w:val="36"/>
        </w:rPr>
      </w:pPr>
    </w:p>
    <w:p w14:paraId="196ADC6F" w14:textId="77777777" w:rsidR="004F6A21" w:rsidRDefault="004F6A21" w:rsidP="004F6A21">
      <w:pPr>
        <w:autoSpaceDE w:val="0"/>
        <w:autoSpaceDN w:val="0"/>
        <w:adjustRightInd w:val="0"/>
        <w:spacing w:after="0" w:line="276" w:lineRule="auto"/>
        <w:jc w:val="both"/>
        <w:rPr>
          <w:rFonts w:cs="MyriadPro-Light"/>
          <w:b/>
          <w:color w:val="2A5853" w:themeColor="accent1" w:themeShade="80"/>
          <w:sz w:val="36"/>
          <w:szCs w:val="36"/>
        </w:rPr>
        <w:sectPr w:rsidR="004F6A21" w:rsidSect="00DB0D3F">
          <w:headerReference w:type="default" r:id="rId11"/>
          <w:footerReference w:type="default" r:id="rId12"/>
          <w:pgSz w:w="11906" w:h="16838"/>
          <w:pgMar w:top="720" w:right="720" w:bottom="720" w:left="720" w:header="708" w:footer="708" w:gutter="0"/>
          <w:cols w:space="708"/>
          <w:docGrid w:linePitch="360"/>
        </w:sectPr>
      </w:pPr>
    </w:p>
    <w:p w14:paraId="3397428D" w14:textId="77777777" w:rsidR="004F6A21" w:rsidRDefault="004F6A21" w:rsidP="004F6A21">
      <w:pPr>
        <w:autoSpaceDE w:val="0"/>
        <w:autoSpaceDN w:val="0"/>
        <w:adjustRightInd w:val="0"/>
        <w:spacing w:after="0" w:line="276" w:lineRule="auto"/>
        <w:jc w:val="both"/>
        <w:rPr>
          <w:rFonts w:cs="MyriadPro-Light"/>
          <w:b/>
          <w:color w:val="2A5853" w:themeColor="accent1" w:themeShade="80"/>
          <w:sz w:val="36"/>
          <w:szCs w:val="3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F6A21" w:rsidRPr="001A67EE" w14:paraId="6ADEB2BC" w14:textId="77777777" w:rsidTr="00DB0D3F">
        <w:tc>
          <w:tcPr>
            <w:tcW w:w="10485" w:type="dxa"/>
            <w:shd w:val="clear" w:color="auto" w:fill="235D64"/>
          </w:tcPr>
          <w:p w14:paraId="4CE0E5DA" w14:textId="77777777" w:rsidR="004F6A21" w:rsidRPr="001A67EE" w:rsidRDefault="004F6A21" w:rsidP="00391D03">
            <w:pPr>
              <w:rPr>
                <w:rFonts w:ascii="Calibri" w:hAnsi="Calibri" w:cs="Calibri"/>
                <w:b/>
                <w:iCs/>
                <w:color w:val="FFFFFF"/>
                <w:sz w:val="32"/>
                <w:szCs w:val="32"/>
              </w:rPr>
            </w:pPr>
            <w:r w:rsidRPr="001A67EE">
              <w:rPr>
                <w:rFonts w:ascii="Calibri" w:hAnsi="Calibri" w:cs="Calibri"/>
                <w:b/>
                <w:iCs/>
                <w:color w:val="FFFFFF"/>
                <w:sz w:val="32"/>
                <w:szCs w:val="32"/>
              </w:rPr>
              <w:t>CONTENTS</w:t>
            </w:r>
          </w:p>
        </w:tc>
      </w:tr>
      <w:tr w:rsidR="004F6A21" w:rsidRPr="006F470D" w14:paraId="3E6E2845" w14:textId="77777777" w:rsidTr="00DB0D3F">
        <w:trPr>
          <w:trHeight w:val="3673"/>
        </w:trPr>
        <w:tc>
          <w:tcPr>
            <w:tcW w:w="10485" w:type="dxa"/>
            <w:shd w:val="clear" w:color="auto" w:fill="EBF2F0"/>
          </w:tcPr>
          <w:p w14:paraId="61A2A1BF" w14:textId="01BA5A79" w:rsidR="004F6A21" w:rsidRDefault="004F6A21" w:rsidP="004F6A21">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 xml:space="preserve">Section 1 – </w:t>
            </w:r>
            <w:r w:rsidR="00B161DE">
              <w:rPr>
                <w:rFonts w:ascii="Calibri" w:hAnsi="Calibri" w:cs="Calibri"/>
                <w:b/>
                <w:bCs/>
                <w:sz w:val="28"/>
                <w:szCs w:val="32"/>
              </w:rPr>
              <w:t>Pricing Schedule</w:t>
            </w:r>
          </w:p>
          <w:p w14:paraId="66254252" w14:textId="1BDE98DE" w:rsidR="00425FBC" w:rsidRPr="00B161DE" w:rsidRDefault="00026530" w:rsidP="00B161DE">
            <w:pPr>
              <w:pStyle w:val="ListParagraph"/>
              <w:numPr>
                <w:ilvl w:val="0"/>
                <w:numId w:val="1"/>
              </w:numPr>
              <w:spacing w:line="360" w:lineRule="auto"/>
              <w:rPr>
                <w:rFonts w:ascii="Calibri" w:hAnsi="Calibri" w:cs="Calibri"/>
                <w:b/>
                <w:bCs/>
                <w:sz w:val="28"/>
                <w:szCs w:val="32"/>
              </w:rPr>
            </w:pPr>
            <w:r w:rsidRPr="00136FD8">
              <w:rPr>
                <w:rFonts w:ascii="Calibri" w:hAnsi="Calibri" w:cs="Calibri"/>
                <w:b/>
                <w:bCs/>
                <w:sz w:val="28"/>
                <w:szCs w:val="32"/>
              </w:rPr>
              <w:t xml:space="preserve">Section </w:t>
            </w:r>
            <w:r>
              <w:rPr>
                <w:rFonts w:ascii="Calibri" w:hAnsi="Calibri" w:cs="Calibri"/>
                <w:b/>
                <w:bCs/>
                <w:sz w:val="28"/>
                <w:szCs w:val="32"/>
              </w:rPr>
              <w:t>2</w:t>
            </w:r>
            <w:r w:rsidRPr="00136FD8">
              <w:rPr>
                <w:rFonts w:ascii="Calibri" w:hAnsi="Calibri" w:cs="Calibri"/>
                <w:b/>
                <w:bCs/>
                <w:sz w:val="28"/>
                <w:szCs w:val="32"/>
              </w:rPr>
              <w:t xml:space="preserve"> – </w:t>
            </w:r>
            <w:r w:rsidR="00B161DE">
              <w:rPr>
                <w:rFonts w:ascii="Calibri" w:hAnsi="Calibri" w:cs="Calibri"/>
                <w:b/>
                <w:bCs/>
                <w:sz w:val="28"/>
                <w:szCs w:val="32"/>
              </w:rPr>
              <w:t>Price Review Mechanism</w:t>
            </w:r>
          </w:p>
        </w:tc>
      </w:tr>
    </w:tbl>
    <w:p w14:paraId="61811489" w14:textId="77777777" w:rsidR="005433CE" w:rsidRDefault="005433CE" w:rsidP="005433CE">
      <w:pPr>
        <w:rPr>
          <w:lang w:eastAsia="ar-SA"/>
        </w:rPr>
        <w:sectPr w:rsidR="005433CE" w:rsidSect="004F6A21">
          <w:headerReference w:type="default" r:id="rId13"/>
          <w:pgSz w:w="11906" w:h="16838"/>
          <w:pgMar w:top="720" w:right="720" w:bottom="720" w:left="720" w:header="708" w:footer="708" w:gutter="0"/>
          <w:cols w:space="708"/>
          <w:docGrid w:linePitch="360"/>
        </w:sectPr>
      </w:pPr>
    </w:p>
    <w:p w14:paraId="212E514D" w14:textId="78132612" w:rsidR="008B6495" w:rsidRDefault="008B6495" w:rsidP="008B6495">
      <w:pPr>
        <w:pStyle w:val="Heading1"/>
      </w:pPr>
      <w:r>
        <w:lastRenderedPageBreak/>
        <w:t xml:space="preserve">Section </w:t>
      </w:r>
      <w:r w:rsidR="009B5BE2">
        <w:t>1</w:t>
      </w:r>
      <w:r>
        <w:t xml:space="preserve"> – </w:t>
      </w:r>
      <w:r w:rsidR="009B5BE2">
        <w:t>Pricing Schedule</w:t>
      </w:r>
    </w:p>
    <w:p w14:paraId="47EE6F3D" w14:textId="77777777" w:rsidR="008B6495" w:rsidRDefault="008B6495" w:rsidP="00783898"/>
    <w:p w14:paraId="2D593F03" w14:textId="77777777" w:rsidR="008B6495" w:rsidRDefault="008B6495" w:rsidP="00783898"/>
    <w:tbl>
      <w:tblPr>
        <w:tblpPr w:leftFromText="180" w:rightFromText="180" w:vertAnchor="text" w:horzAnchor="margin" w:tblpX="-572" w:tblpY="-35"/>
        <w:tblW w:w="10348"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348"/>
      </w:tblGrid>
      <w:tr w:rsidR="00591F05" w:rsidRPr="00591F05" w14:paraId="61243603" w14:textId="77777777" w:rsidTr="00591F05">
        <w:tc>
          <w:tcPr>
            <w:tcW w:w="10348" w:type="dxa"/>
            <w:shd w:val="clear" w:color="auto" w:fill="235D64"/>
          </w:tcPr>
          <w:p w14:paraId="4D3C4B13" w14:textId="66510A87" w:rsidR="00591F05" w:rsidRPr="00591F05" w:rsidRDefault="00E36FEF" w:rsidP="00591F05">
            <w:pPr>
              <w:rPr>
                <w:rFonts w:cs="Calibri"/>
                <w:b/>
                <w:bCs/>
                <w:color w:val="FFFFFF" w:themeColor="background1"/>
                <w:sz w:val="32"/>
                <w:szCs w:val="32"/>
              </w:rPr>
            </w:pPr>
            <w:r>
              <w:rPr>
                <w:rFonts w:cs="Calibri"/>
                <w:b/>
                <w:bCs/>
                <w:color w:val="FFFFFF" w:themeColor="background1"/>
                <w:sz w:val="32"/>
                <w:szCs w:val="32"/>
              </w:rPr>
              <w:t>Criterion</w:t>
            </w:r>
            <w:r w:rsidR="00591F05" w:rsidRPr="00591F05">
              <w:rPr>
                <w:rFonts w:cs="Calibri"/>
                <w:b/>
                <w:bCs/>
                <w:color w:val="FFFFFF" w:themeColor="background1"/>
                <w:sz w:val="32"/>
                <w:szCs w:val="32"/>
              </w:rPr>
              <w:t xml:space="preserve"> </w:t>
            </w:r>
            <w:r w:rsidR="009B5BE2">
              <w:rPr>
                <w:rFonts w:cs="Calibri"/>
                <w:b/>
                <w:bCs/>
                <w:color w:val="FFFFFF" w:themeColor="background1"/>
                <w:sz w:val="32"/>
                <w:szCs w:val="32"/>
              </w:rPr>
              <w:t>4</w:t>
            </w:r>
            <w:r w:rsidR="00591F05" w:rsidRPr="00591F05">
              <w:rPr>
                <w:rFonts w:cs="Calibri"/>
                <w:b/>
                <w:bCs/>
                <w:color w:val="FFFFFF" w:themeColor="background1"/>
                <w:sz w:val="32"/>
                <w:szCs w:val="32"/>
              </w:rPr>
              <w:t xml:space="preserve"> – </w:t>
            </w:r>
            <w:r w:rsidR="006F77DC">
              <w:t xml:space="preserve"> </w:t>
            </w:r>
            <w:r w:rsidR="0062394B" w:rsidRPr="0062394B">
              <w:rPr>
                <w:color w:val="FFFFFF" w:themeColor="background1"/>
                <w:sz w:val="32"/>
                <w:szCs w:val="32"/>
              </w:rPr>
              <w:t>Cost</w:t>
            </w:r>
          </w:p>
          <w:p w14:paraId="1D18F2B8" w14:textId="571EACE4" w:rsidR="00591F05" w:rsidRPr="00591F05" w:rsidRDefault="00591F05" w:rsidP="00591F05">
            <w:pPr>
              <w:rPr>
                <w:rFonts w:cs="Calibri"/>
                <w:b/>
                <w:bCs/>
                <w:color w:val="FFFFFF" w:themeColor="background1"/>
                <w:sz w:val="32"/>
                <w:szCs w:val="32"/>
              </w:rPr>
            </w:pPr>
            <w:r w:rsidRPr="00591F05">
              <w:rPr>
                <w:rFonts w:cs="Calibri"/>
                <w:b/>
                <w:bCs/>
                <w:color w:val="FFFFFF" w:themeColor="background1"/>
                <w:sz w:val="28"/>
                <w:szCs w:val="28"/>
              </w:rPr>
              <w:t>Marks Available</w:t>
            </w:r>
            <w:r w:rsidRPr="0062394B">
              <w:rPr>
                <w:rFonts w:cs="Calibri"/>
                <w:b/>
                <w:bCs/>
                <w:color w:val="FFFFFF" w:themeColor="background1"/>
                <w:sz w:val="28"/>
                <w:szCs w:val="28"/>
              </w:rPr>
              <w:t xml:space="preserve">: </w:t>
            </w:r>
            <w:r w:rsidR="0062394B" w:rsidRPr="0062394B">
              <w:rPr>
                <w:rFonts w:cs="Calibri"/>
                <w:b/>
                <w:bCs/>
                <w:color w:val="FFFFFF" w:themeColor="background1"/>
                <w:sz w:val="28"/>
                <w:szCs w:val="28"/>
              </w:rPr>
              <w:t>3</w:t>
            </w:r>
            <w:r w:rsidR="005B0FDF" w:rsidRPr="0062394B">
              <w:rPr>
                <w:rFonts w:cs="Calibri"/>
                <w:b/>
                <w:bCs/>
                <w:color w:val="FFFFFF" w:themeColor="background1"/>
                <w:sz w:val="28"/>
                <w:szCs w:val="28"/>
              </w:rPr>
              <w:t>00</w:t>
            </w:r>
          </w:p>
        </w:tc>
      </w:tr>
    </w:tbl>
    <w:tbl>
      <w:tblPr>
        <w:tblW w:w="10432" w:type="dxa"/>
        <w:tblInd w:w="-572"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10432"/>
      </w:tblGrid>
      <w:tr w:rsidR="00591F05" w:rsidRPr="00591F05" w14:paraId="0C616BFF" w14:textId="77777777" w:rsidTr="00231F65">
        <w:tc>
          <w:tcPr>
            <w:tcW w:w="10432" w:type="dxa"/>
            <w:shd w:val="clear" w:color="auto" w:fill="57AEA5"/>
          </w:tcPr>
          <w:p w14:paraId="5D734422" w14:textId="77777777" w:rsidR="001036AA" w:rsidRDefault="001036AA" w:rsidP="001036AA">
            <w:pPr>
              <w:pStyle w:val="ListParagraph"/>
              <w:rPr>
                <w:rFonts w:cs="Calibri"/>
                <w:b/>
                <w:bCs/>
                <w:color w:val="235D64"/>
              </w:rPr>
            </w:pPr>
            <w:bookmarkStart w:id="1" w:name="_Hlk202180261"/>
          </w:p>
          <w:p w14:paraId="3CDB529C" w14:textId="57F19C1A" w:rsidR="001036AA" w:rsidRPr="00632543" w:rsidRDefault="001036AA" w:rsidP="001036AA">
            <w:pPr>
              <w:pStyle w:val="ListParagraph"/>
              <w:numPr>
                <w:ilvl w:val="0"/>
                <w:numId w:val="4"/>
              </w:numPr>
              <w:rPr>
                <w:rFonts w:cs="Calibri"/>
                <w:b/>
                <w:bCs/>
                <w:color w:val="235D64"/>
              </w:rPr>
            </w:pPr>
            <w:r w:rsidRPr="00632543">
              <w:rPr>
                <w:rFonts w:cs="Calibri"/>
                <w:b/>
                <w:bCs/>
                <w:color w:val="235D64"/>
              </w:rPr>
              <w:t>Tenderers are required to complete Pricing Table</w:t>
            </w:r>
            <w:r w:rsidR="00147B8E">
              <w:rPr>
                <w:rFonts w:cs="Calibri"/>
                <w:b/>
                <w:bCs/>
                <w:color w:val="235D64"/>
              </w:rPr>
              <w:t>s</w:t>
            </w:r>
            <w:r w:rsidRPr="00632543">
              <w:rPr>
                <w:rFonts w:cs="Calibri"/>
                <w:b/>
                <w:bCs/>
                <w:color w:val="235D64"/>
              </w:rPr>
              <w:t xml:space="preserve"> 1</w:t>
            </w:r>
            <w:r w:rsidR="00147B8E">
              <w:rPr>
                <w:rFonts w:cs="Calibri"/>
                <w:b/>
                <w:bCs/>
                <w:color w:val="235D64"/>
              </w:rPr>
              <w:t>-6</w:t>
            </w:r>
            <w:r w:rsidRPr="00632543">
              <w:rPr>
                <w:rFonts w:cs="Calibri"/>
                <w:b/>
                <w:bCs/>
                <w:color w:val="235D64"/>
              </w:rPr>
              <w:t xml:space="preserve"> below. Tenderers who fail to complete the pricing table as required may be eliminated from the competition on grounds of non-compliance.</w:t>
            </w:r>
          </w:p>
          <w:p w14:paraId="44FCFB98" w14:textId="0FC111B8" w:rsidR="001036AA" w:rsidRPr="00632543" w:rsidRDefault="001036AA" w:rsidP="001036AA">
            <w:pPr>
              <w:pStyle w:val="ListParagraph"/>
              <w:numPr>
                <w:ilvl w:val="0"/>
                <w:numId w:val="4"/>
              </w:numPr>
              <w:rPr>
                <w:rFonts w:cs="Calibri"/>
                <w:b/>
                <w:bCs/>
                <w:color w:val="235D64"/>
              </w:rPr>
            </w:pPr>
            <w:r w:rsidRPr="00632543">
              <w:rPr>
                <w:rFonts w:cs="Calibri"/>
                <w:b/>
                <w:bCs/>
                <w:color w:val="235D64"/>
              </w:rPr>
              <w:t xml:space="preserve">The </w:t>
            </w:r>
            <w:r w:rsidR="0064451C">
              <w:rPr>
                <w:rFonts w:cs="Calibri"/>
                <w:b/>
                <w:bCs/>
                <w:color w:val="235D64"/>
              </w:rPr>
              <w:t>estimated annual units</w:t>
            </w:r>
            <w:r w:rsidRPr="00632543">
              <w:rPr>
                <w:rFonts w:cs="Calibri"/>
                <w:b/>
                <w:bCs/>
                <w:color w:val="235D64"/>
              </w:rPr>
              <w:t xml:space="preserve"> are for evaluation purposes only. DAFM does not commit to any minimum drawdown of any of the resources listed.</w:t>
            </w:r>
          </w:p>
          <w:p w14:paraId="384CD6A7" w14:textId="30F73531" w:rsidR="001036AA" w:rsidRDefault="001036AA" w:rsidP="001036AA">
            <w:pPr>
              <w:numPr>
                <w:ilvl w:val="0"/>
                <w:numId w:val="4"/>
              </w:numPr>
              <w:spacing w:after="0" w:line="240" w:lineRule="auto"/>
              <w:rPr>
                <w:rFonts w:ascii="Times New Roman" w:eastAsia="Times New Roman" w:hAnsi="Times New Roman" w:cs="Calibri"/>
                <w:b/>
                <w:bCs/>
                <w:color w:val="235D64"/>
                <w:sz w:val="24"/>
                <w:szCs w:val="24"/>
                <w:lang w:val="en-GB"/>
              </w:rPr>
            </w:pPr>
            <w:r w:rsidRPr="00632543">
              <w:rPr>
                <w:rFonts w:ascii="Times New Roman" w:eastAsia="Times New Roman" w:hAnsi="Times New Roman" w:cs="Calibri"/>
                <w:b/>
                <w:bCs/>
                <w:color w:val="235D64"/>
                <w:sz w:val="24"/>
                <w:szCs w:val="24"/>
                <w:lang w:val="en-GB"/>
              </w:rPr>
              <w:t xml:space="preserve">For the purposes of evaluation, the </w:t>
            </w:r>
            <w:r w:rsidR="00B523FD">
              <w:rPr>
                <w:rFonts w:ascii="Times New Roman" w:eastAsia="Times New Roman" w:hAnsi="Times New Roman" w:cs="Calibri"/>
                <w:b/>
                <w:bCs/>
                <w:color w:val="235D64"/>
                <w:sz w:val="24"/>
                <w:szCs w:val="24"/>
                <w:lang w:val="en-GB"/>
              </w:rPr>
              <w:t>estimated</w:t>
            </w:r>
            <w:r w:rsidRPr="00632543">
              <w:rPr>
                <w:rFonts w:ascii="Times New Roman" w:eastAsia="Times New Roman" w:hAnsi="Times New Roman" w:cs="Calibri"/>
                <w:b/>
                <w:bCs/>
                <w:color w:val="235D64"/>
                <w:sz w:val="24"/>
                <w:szCs w:val="24"/>
                <w:lang w:val="en-GB"/>
              </w:rPr>
              <w:t xml:space="preserve"> number of days </w:t>
            </w:r>
            <w:r w:rsidR="0064451C">
              <w:rPr>
                <w:rFonts w:ascii="Times New Roman" w:eastAsia="Times New Roman" w:hAnsi="Times New Roman" w:cs="Calibri"/>
                <w:b/>
                <w:bCs/>
                <w:color w:val="235D64"/>
                <w:sz w:val="24"/>
                <w:szCs w:val="24"/>
                <w:lang w:val="en-GB"/>
              </w:rPr>
              <w:t>per annum</w:t>
            </w:r>
            <w:r w:rsidRPr="00632543">
              <w:rPr>
                <w:rFonts w:ascii="Times New Roman" w:eastAsia="Times New Roman" w:hAnsi="Times New Roman" w:cs="Calibri"/>
                <w:b/>
                <w:bCs/>
                <w:color w:val="235D64"/>
                <w:sz w:val="24"/>
                <w:szCs w:val="24"/>
                <w:lang w:val="en-GB"/>
              </w:rPr>
              <w:t xml:space="preserve"> is set at 2</w:t>
            </w:r>
            <w:r w:rsidR="0064451C">
              <w:rPr>
                <w:rFonts w:ascii="Times New Roman" w:eastAsia="Times New Roman" w:hAnsi="Times New Roman" w:cs="Calibri"/>
                <w:b/>
                <w:bCs/>
                <w:color w:val="235D64"/>
                <w:sz w:val="24"/>
                <w:szCs w:val="24"/>
                <w:lang w:val="en-GB"/>
              </w:rPr>
              <w:t>5</w:t>
            </w:r>
            <w:r w:rsidRPr="00632543">
              <w:rPr>
                <w:rFonts w:ascii="Times New Roman" w:eastAsia="Times New Roman" w:hAnsi="Times New Roman" w:cs="Calibri"/>
                <w:b/>
                <w:bCs/>
                <w:color w:val="235D64"/>
                <w:sz w:val="24"/>
                <w:szCs w:val="24"/>
                <w:lang w:val="en-GB"/>
              </w:rPr>
              <w:t>0 days.</w:t>
            </w:r>
          </w:p>
          <w:p w14:paraId="6CFC9405" w14:textId="70E8C036" w:rsidR="00B161DE" w:rsidRDefault="00B161DE" w:rsidP="001036AA">
            <w:pPr>
              <w:numPr>
                <w:ilvl w:val="0"/>
                <w:numId w:val="4"/>
              </w:numPr>
              <w:spacing w:after="0" w:line="240" w:lineRule="auto"/>
              <w:rPr>
                <w:rFonts w:ascii="Times New Roman" w:eastAsia="Times New Roman" w:hAnsi="Times New Roman" w:cs="Calibri"/>
                <w:b/>
                <w:bCs/>
                <w:color w:val="235D64"/>
                <w:sz w:val="24"/>
                <w:szCs w:val="24"/>
                <w:lang w:val="en-GB"/>
              </w:rPr>
            </w:pPr>
            <w:r>
              <w:rPr>
                <w:rFonts w:ascii="Times New Roman" w:eastAsia="Times New Roman" w:hAnsi="Times New Roman" w:cs="Calibri"/>
                <w:b/>
                <w:bCs/>
                <w:color w:val="235D64"/>
                <w:sz w:val="24"/>
                <w:szCs w:val="24"/>
                <w:lang w:val="en-GB"/>
              </w:rPr>
              <w:t xml:space="preserve">The Total </w:t>
            </w:r>
            <w:r w:rsidR="00147B8E">
              <w:rPr>
                <w:rFonts w:ascii="Times New Roman" w:eastAsia="Times New Roman" w:hAnsi="Times New Roman" w:cs="Calibri"/>
                <w:b/>
                <w:bCs/>
                <w:color w:val="235D64"/>
                <w:sz w:val="24"/>
                <w:szCs w:val="24"/>
                <w:lang w:val="en-GB"/>
              </w:rPr>
              <w:t xml:space="preserve">Annual </w:t>
            </w:r>
            <w:r>
              <w:rPr>
                <w:rFonts w:ascii="Times New Roman" w:eastAsia="Times New Roman" w:hAnsi="Times New Roman" w:cs="Calibri"/>
                <w:b/>
                <w:bCs/>
                <w:color w:val="235D64"/>
                <w:sz w:val="24"/>
                <w:szCs w:val="24"/>
                <w:lang w:val="en-GB"/>
              </w:rPr>
              <w:t>Cost</w:t>
            </w:r>
            <w:r w:rsidR="00147B8E">
              <w:rPr>
                <w:rFonts w:ascii="Times New Roman" w:eastAsia="Times New Roman" w:hAnsi="Times New Roman" w:cs="Calibri"/>
                <w:b/>
                <w:bCs/>
                <w:color w:val="235D64"/>
                <w:sz w:val="24"/>
                <w:szCs w:val="24"/>
                <w:lang w:val="en-GB"/>
              </w:rPr>
              <w:t xml:space="preserve"> of Service</w:t>
            </w:r>
            <w:r>
              <w:rPr>
                <w:rFonts w:ascii="Times New Roman" w:eastAsia="Times New Roman" w:hAnsi="Times New Roman" w:cs="Calibri"/>
                <w:b/>
                <w:bCs/>
                <w:color w:val="235D64"/>
                <w:sz w:val="24"/>
                <w:szCs w:val="24"/>
                <w:lang w:val="en-GB"/>
              </w:rPr>
              <w:t xml:space="preserve"> will be the figure used to determine Cost score.</w:t>
            </w:r>
          </w:p>
          <w:p w14:paraId="6BBD9F0B" w14:textId="5912BBB4" w:rsidR="00D21E2C" w:rsidRPr="00632543" w:rsidRDefault="00D21E2C" w:rsidP="001036AA">
            <w:pPr>
              <w:numPr>
                <w:ilvl w:val="0"/>
                <w:numId w:val="4"/>
              </w:numPr>
              <w:spacing w:after="0" w:line="240" w:lineRule="auto"/>
              <w:rPr>
                <w:rFonts w:ascii="Times New Roman" w:eastAsia="Times New Roman" w:hAnsi="Times New Roman" w:cs="Calibri"/>
                <w:b/>
                <w:bCs/>
                <w:color w:val="235D64"/>
                <w:sz w:val="24"/>
                <w:szCs w:val="24"/>
                <w:lang w:val="en-GB"/>
              </w:rPr>
            </w:pPr>
            <w:r>
              <w:rPr>
                <w:rFonts w:ascii="Times New Roman" w:eastAsia="Times New Roman" w:hAnsi="Times New Roman" w:cs="Calibri"/>
                <w:b/>
                <w:bCs/>
                <w:color w:val="235D64"/>
                <w:sz w:val="24"/>
                <w:szCs w:val="24"/>
                <w:lang w:val="en-GB"/>
              </w:rPr>
              <w:t xml:space="preserve">The costs will be evaluated as </w:t>
            </w:r>
            <w:r w:rsidR="0064451C">
              <w:rPr>
                <w:rFonts w:ascii="Times New Roman" w:eastAsia="Times New Roman" w:hAnsi="Times New Roman" w:cs="Calibri"/>
                <w:b/>
                <w:bCs/>
                <w:color w:val="235D64"/>
                <w:sz w:val="24"/>
                <w:szCs w:val="24"/>
                <w:lang w:val="en-GB"/>
              </w:rPr>
              <w:t xml:space="preserve">per the methodology </w:t>
            </w:r>
            <w:r>
              <w:rPr>
                <w:rFonts w:ascii="Times New Roman" w:eastAsia="Times New Roman" w:hAnsi="Times New Roman" w:cs="Calibri"/>
                <w:b/>
                <w:bCs/>
                <w:color w:val="235D64"/>
                <w:sz w:val="24"/>
                <w:szCs w:val="24"/>
                <w:lang w:val="en-GB"/>
              </w:rPr>
              <w:t xml:space="preserve">set out in the Request </w:t>
            </w:r>
            <w:r w:rsidR="002F18A2">
              <w:rPr>
                <w:rFonts w:ascii="Times New Roman" w:eastAsia="Times New Roman" w:hAnsi="Times New Roman" w:cs="Calibri"/>
                <w:b/>
                <w:bCs/>
                <w:color w:val="235D64"/>
                <w:sz w:val="24"/>
                <w:szCs w:val="24"/>
                <w:lang w:val="en-GB"/>
              </w:rPr>
              <w:t>f</w:t>
            </w:r>
            <w:r>
              <w:rPr>
                <w:rFonts w:ascii="Times New Roman" w:eastAsia="Times New Roman" w:hAnsi="Times New Roman" w:cs="Calibri"/>
                <w:b/>
                <w:bCs/>
                <w:color w:val="235D64"/>
                <w:sz w:val="24"/>
                <w:szCs w:val="24"/>
                <w:lang w:val="en-GB"/>
              </w:rPr>
              <w:t>or Tender document.</w:t>
            </w:r>
          </w:p>
          <w:p w14:paraId="0770C5D0" w14:textId="393E1C9F" w:rsidR="00591F05" w:rsidRPr="00591F05" w:rsidRDefault="00591F05" w:rsidP="00C01A5E">
            <w:pPr>
              <w:spacing w:after="0" w:line="240" w:lineRule="auto"/>
              <w:ind w:left="360"/>
              <w:rPr>
                <w:rFonts w:eastAsia="Times New Roman" w:cs="Calibri"/>
                <w:b/>
                <w:bCs/>
                <w:color w:val="235D64"/>
                <w:lang w:val="en-GB"/>
              </w:rPr>
            </w:pPr>
          </w:p>
        </w:tc>
      </w:tr>
      <w:tr w:rsidR="00591F05" w:rsidRPr="00591F05" w14:paraId="04A890A2" w14:textId="77777777" w:rsidTr="00231F65">
        <w:tblPrEx>
          <w:shd w:val="clear" w:color="auto" w:fill="DEEAF6"/>
        </w:tblPrEx>
        <w:tc>
          <w:tcPr>
            <w:tcW w:w="10432" w:type="dxa"/>
            <w:shd w:val="clear" w:color="auto" w:fill="EBF2F0"/>
            <w:vAlign w:val="center"/>
          </w:tcPr>
          <w:p w14:paraId="1078C84B" w14:textId="6B8A04EE" w:rsidR="00591F05" w:rsidRPr="00591F05" w:rsidRDefault="00591F05" w:rsidP="00591F05">
            <w:pPr>
              <w:rPr>
                <w:rFonts w:cs="Calibri"/>
                <w:bCs/>
                <w:color w:val="235D64"/>
                <w:lang w:eastAsia="en-GB"/>
              </w:rPr>
            </w:pPr>
          </w:p>
        </w:tc>
      </w:tr>
      <w:tr w:rsidR="00591F05" w:rsidRPr="00591F05" w14:paraId="739CFAC4" w14:textId="77777777" w:rsidTr="00231F65">
        <w:tblPrEx>
          <w:shd w:val="clear" w:color="auto" w:fill="DEEAF6"/>
        </w:tblPrEx>
        <w:tc>
          <w:tcPr>
            <w:tcW w:w="10432" w:type="dxa"/>
            <w:shd w:val="clear" w:color="auto" w:fill="EBF2F0"/>
            <w:vAlign w:val="center"/>
          </w:tcPr>
          <w:p w14:paraId="47609357" w14:textId="657E3260" w:rsidR="00231F65" w:rsidRPr="00591F05" w:rsidRDefault="00231F65" w:rsidP="007C0DCF">
            <w:pPr>
              <w:rPr>
                <w:rFonts w:cs="Calibri"/>
              </w:rPr>
            </w:pPr>
          </w:p>
          <w:tbl>
            <w:tblPr>
              <w:tblStyle w:val="TableGrid12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074"/>
            </w:tblGrid>
            <w:tr w:rsidR="00591F05" w:rsidRPr="00591F05" w14:paraId="2E5BE07B" w14:textId="77777777" w:rsidTr="00FC03E2">
              <w:trPr>
                <w:trHeight w:val="4277"/>
              </w:trPr>
              <w:tc>
                <w:tcPr>
                  <w:tcW w:w="10074" w:type="dxa"/>
                </w:tcPr>
                <w:p w14:paraId="3618510C" w14:textId="77777777" w:rsidR="00147B8E" w:rsidRPr="00147B8E" w:rsidRDefault="00147B8E" w:rsidP="00147B8E">
                  <w:pPr>
                    <w:spacing w:line="276" w:lineRule="auto"/>
                    <w:rPr>
                      <w:rFonts w:ascii="Calibri" w:eastAsia="Times New Roman" w:hAnsi="Calibri" w:cs="Times New Roman"/>
                      <w:szCs w:val="24"/>
                      <w:lang w:val="en-GB"/>
                    </w:rPr>
                  </w:pPr>
                </w:p>
                <w:p w14:paraId="5DEA0449" w14:textId="77777777" w:rsidR="00147B8E" w:rsidRPr="00147B8E" w:rsidRDefault="00147B8E" w:rsidP="00147B8E">
                  <w:pPr>
                    <w:spacing w:line="276" w:lineRule="auto"/>
                    <w:rPr>
                      <w:rFonts w:ascii="Calibri" w:eastAsia="Times New Roman" w:hAnsi="Calibri" w:cs="Arial"/>
                      <w:b/>
                    </w:rPr>
                  </w:pPr>
                  <w:r w:rsidRPr="00147B8E">
                    <w:rPr>
                      <w:rFonts w:ascii="Calibri" w:eastAsia="Times New Roman" w:hAnsi="Calibri" w:cs="Arial"/>
                      <w:b/>
                    </w:rPr>
                    <w:t>Cost Table 1 - Candidate: Application Server Team lead</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147B8E" w:rsidRPr="00147B8E" w14:paraId="77F4CD2F" w14:textId="77777777" w:rsidTr="00224E48">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B356EF"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AF6AC"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761B66"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5D5B9"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Unit cost</w:t>
                        </w:r>
                      </w:p>
                      <w:p w14:paraId="49E4E07D"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503C8"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Annual cost</w:t>
                        </w:r>
                      </w:p>
                      <w:p w14:paraId="45EF10D5"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59AE9"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VAT rate</w:t>
                        </w:r>
                      </w:p>
                    </w:tc>
                  </w:tr>
                  <w:tr w:rsidR="00147B8E" w:rsidRPr="00147B8E" w14:paraId="6570D87E"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07DB0"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479274EC"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Standard daily rate ( 8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589C4D1C"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472108"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66CB2564"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1A666657"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5E523A5D"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E3F27" w14:textId="77777777" w:rsidR="00147B8E" w:rsidRPr="00147B8E" w:rsidRDefault="00147B8E" w:rsidP="00147B8E">
                        <w:pPr>
                          <w:spacing w:line="276" w:lineRule="auto"/>
                          <w:rPr>
                            <w:rFonts w:ascii="Calibri" w:eastAsia="Times New Roman" w:hAnsi="Calibri" w:cs="Times New Roman"/>
                            <w:szCs w:val="24"/>
                            <w:lang w:val="en-GB"/>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4A398BCA"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p>
                      <w:p w14:paraId="1CB4AF4F" w14:textId="77777777" w:rsidR="00147B8E" w:rsidRPr="00147B8E" w:rsidRDefault="00147B8E" w:rsidP="00147B8E">
                        <w:pPr>
                          <w:spacing w:line="276" w:lineRule="auto"/>
                          <w:jc w:val="center"/>
                          <w:rPr>
                            <w:rFonts w:ascii="Calibri" w:eastAsia="Calibri" w:hAnsi="Calibri" w:cs="Times New Roman"/>
                            <w:b/>
                            <w:bCs/>
                            <w:color w:val="000000"/>
                            <w:szCs w:val="24"/>
                            <w:lang w:val="en-GB"/>
                          </w:rPr>
                        </w:pPr>
                        <w:r w:rsidRPr="00147B8E">
                          <w:rPr>
                            <w:rFonts w:ascii="Calibri" w:eastAsia="Times New Roman" w:hAnsi="Calibri" w:cs="Times New Roman"/>
                            <w:b/>
                            <w:bCs/>
                            <w:color w:val="000000"/>
                            <w:sz w:val="20"/>
                            <w:szCs w:val="20"/>
                            <w:lang w:val="en-GB"/>
                          </w:rPr>
                          <w:t xml:space="preserve">Total Annual Cost € (ex VAT) - </w:t>
                        </w:r>
                        <w:r w:rsidRPr="00147B8E">
                          <w:rPr>
                            <w:rFonts w:ascii="Calibri" w:eastAsia="Times New Roman" w:hAnsi="Calibri" w:cs="Times New Roman"/>
                            <w:b/>
                            <w:bCs/>
                            <w:color w:val="000000"/>
                            <w:sz w:val="20"/>
                            <w:szCs w:val="20"/>
                          </w:rPr>
                          <w:t>Application Server Team lead</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5AB624E4"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p w14:paraId="18B22BB4"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064348F3" w14:textId="77777777" w:rsidR="00147B8E" w:rsidRPr="00147B8E" w:rsidRDefault="00147B8E" w:rsidP="00147B8E">
                        <w:pPr>
                          <w:spacing w:line="276" w:lineRule="auto"/>
                          <w:rPr>
                            <w:rFonts w:ascii="Calibri" w:eastAsia="Times New Roman" w:hAnsi="Calibri" w:cs="Times New Roman"/>
                            <w:szCs w:val="24"/>
                            <w:lang w:val="en-GB"/>
                          </w:rPr>
                        </w:pPr>
                      </w:p>
                    </w:tc>
                  </w:tr>
                </w:tbl>
                <w:p w14:paraId="1395E272" w14:textId="77777777" w:rsidR="00147B8E" w:rsidRPr="00147B8E" w:rsidRDefault="00147B8E" w:rsidP="00147B8E">
                  <w:pPr>
                    <w:spacing w:line="276" w:lineRule="auto"/>
                    <w:rPr>
                      <w:rFonts w:ascii="Calibri" w:eastAsia="Times New Roman" w:hAnsi="Calibri" w:cs="Times New Roman"/>
                      <w:szCs w:val="24"/>
                      <w:lang w:val="en-GB"/>
                    </w:rPr>
                  </w:pPr>
                </w:p>
                <w:p w14:paraId="781CEF06" w14:textId="77777777" w:rsidR="00147B8E" w:rsidRPr="00147B8E" w:rsidRDefault="00147B8E" w:rsidP="00147B8E">
                  <w:pPr>
                    <w:spacing w:line="276" w:lineRule="auto"/>
                    <w:rPr>
                      <w:rFonts w:ascii="Calibri" w:eastAsia="Times New Roman" w:hAnsi="Calibri" w:cs="Times New Roman"/>
                      <w:szCs w:val="24"/>
                      <w:lang w:val="en-GB"/>
                    </w:rPr>
                  </w:pPr>
                </w:p>
                <w:p w14:paraId="090AC18E" w14:textId="77777777" w:rsidR="00147B8E" w:rsidRPr="00147B8E" w:rsidRDefault="00147B8E" w:rsidP="00147B8E">
                  <w:pPr>
                    <w:spacing w:line="276" w:lineRule="auto"/>
                    <w:rPr>
                      <w:rFonts w:ascii="Calibri" w:eastAsia="Times New Roman" w:hAnsi="Calibri" w:cs="Times New Roman"/>
                      <w:szCs w:val="24"/>
                      <w:lang w:val="en-GB"/>
                    </w:rPr>
                  </w:pPr>
                </w:p>
                <w:p w14:paraId="7CB0082C" w14:textId="77777777" w:rsidR="00147B8E" w:rsidRPr="00147B8E" w:rsidRDefault="00147B8E" w:rsidP="00147B8E">
                  <w:pPr>
                    <w:spacing w:line="276" w:lineRule="auto"/>
                    <w:rPr>
                      <w:rFonts w:ascii="Calibri" w:eastAsia="Times New Roman" w:hAnsi="Calibri" w:cs="Arial"/>
                      <w:b/>
                    </w:rPr>
                  </w:pPr>
                  <w:r w:rsidRPr="00147B8E">
                    <w:rPr>
                      <w:rFonts w:ascii="Calibri" w:eastAsia="Times New Roman" w:hAnsi="Calibri" w:cs="Arial"/>
                      <w:b/>
                    </w:rPr>
                    <w:t>Cost Table 2 - Candidate: WebLogic Specialist</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147B8E" w:rsidRPr="00147B8E" w14:paraId="272D99A0" w14:textId="77777777" w:rsidTr="00224E48">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368AE8"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B90C4"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D88AB"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0DD51"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Unit cost</w:t>
                        </w:r>
                      </w:p>
                      <w:p w14:paraId="1AD7340F"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4EFCD"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Annual cost</w:t>
                        </w:r>
                      </w:p>
                      <w:p w14:paraId="6BA068D5"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299A9"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VAT rate</w:t>
                        </w:r>
                      </w:p>
                    </w:tc>
                  </w:tr>
                  <w:tr w:rsidR="00147B8E" w:rsidRPr="00147B8E" w14:paraId="050A3B6B"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B4F91"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7ED8293E"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Standard daily rate ( 8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45B318DF"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CE0BD7"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35A8EF0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2CE5C02D"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2DD6EA64"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2CC5" w14:textId="77777777" w:rsidR="00147B8E" w:rsidRPr="00147B8E" w:rsidRDefault="00147B8E" w:rsidP="00147B8E">
                        <w:pPr>
                          <w:spacing w:line="276" w:lineRule="auto"/>
                          <w:rPr>
                            <w:rFonts w:ascii="Calibri" w:eastAsia="Times New Roman" w:hAnsi="Calibri" w:cs="Times New Roman"/>
                            <w:szCs w:val="24"/>
                            <w:lang w:val="en-GB"/>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4040648C"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p>
                      <w:p w14:paraId="015E26C1" w14:textId="77777777" w:rsidR="00147B8E" w:rsidRPr="00147B8E" w:rsidRDefault="00147B8E" w:rsidP="00147B8E">
                        <w:pPr>
                          <w:spacing w:line="276" w:lineRule="auto"/>
                          <w:jc w:val="center"/>
                          <w:rPr>
                            <w:rFonts w:ascii="Calibri" w:eastAsia="Calibri" w:hAnsi="Calibri" w:cs="Times New Roman"/>
                            <w:b/>
                            <w:bCs/>
                            <w:color w:val="000000"/>
                            <w:szCs w:val="24"/>
                            <w:lang w:val="en-GB"/>
                          </w:rPr>
                        </w:pPr>
                        <w:r w:rsidRPr="00147B8E">
                          <w:rPr>
                            <w:rFonts w:ascii="Calibri" w:eastAsia="Times New Roman" w:hAnsi="Calibri" w:cs="Times New Roman"/>
                            <w:b/>
                            <w:bCs/>
                            <w:color w:val="000000"/>
                            <w:sz w:val="20"/>
                            <w:szCs w:val="20"/>
                            <w:lang w:val="en-GB"/>
                          </w:rPr>
                          <w:t xml:space="preserve">Total Annual Cost € (ex VAT) - </w:t>
                        </w:r>
                        <w:r w:rsidRPr="00147B8E">
                          <w:rPr>
                            <w:rFonts w:ascii="Calibri" w:eastAsia="Times New Roman" w:hAnsi="Calibri" w:cs="Times New Roman"/>
                            <w:b/>
                            <w:bCs/>
                            <w:color w:val="000000"/>
                            <w:sz w:val="20"/>
                            <w:szCs w:val="20"/>
                          </w:rPr>
                          <w:t>WebLogic Specialist</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1401701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p w14:paraId="1634E743"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0698C554" w14:textId="77777777" w:rsidR="00147B8E" w:rsidRPr="00147B8E" w:rsidRDefault="00147B8E" w:rsidP="00147B8E">
                        <w:pPr>
                          <w:spacing w:line="276" w:lineRule="auto"/>
                          <w:rPr>
                            <w:rFonts w:ascii="Calibri" w:eastAsia="Times New Roman" w:hAnsi="Calibri" w:cs="Times New Roman"/>
                            <w:szCs w:val="24"/>
                            <w:lang w:val="en-GB"/>
                          </w:rPr>
                        </w:pPr>
                      </w:p>
                    </w:tc>
                  </w:tr>
                </w:tbl>
                <w:p w14:paraId="28EAC95F" w14:textId="77777777" w:rsidR="00147B8E" w:rsidRPr="00147B8E" w:rsidRDefault="00147B8E" w:rsidP="00147B8E">
                  <w:pPr>
                    <w:spacing w:line="276" w:lineRule="auto"/>
                    <w:rPr>
                      <w:rFonts w:ascii="Calibri" w:eastAsia="Times New Roman" w:hAnsi="Calibri" w:cs="Times New Roman"/>
                      <w:color w:val="FF0000"/>
                      <w:szCs w:val="24"/>
                      <w:lang w:val="en-GB"/>
                    </w:rPr>
                  </w:pPr>
                </w:p>
                <w:p w14:paraId="523C04D6" w14:textId="77777777" w:rsidR="00147B8E" w:rsidRPr="00147B8E" w:rsidRDefault="00147B8E" w:rsidP="00147B8E">
                  <w:pPr>
                    <w:spacing w:line="276" w:lineRule="auto"/>
                    <w:rPr>
                      <w:rFonts w:ascii="Calibri" w:eastAsia="Times New Roman" w:hAnsi="Calibri" w:cs="Times New Roman"/>
                      <w:color w:val="FF0000"/>
                      <w:szCs w:val="24"/>
                      <w:lang w:val="en-GB"/>
                    </w:rPr>
                  </w:pPr>
                </w:p>
                <w:p w14:paraId="6392543A" w14:textId="77777777" w:rsidR="00147B8E" w:rsidRPr="00147B8E" w:rsidRDefault="00147B8E" w:rsidP="00147B8E">
                  <w:pPr>
                    <w:spacing w:line="276" w:lineRule="auto"/>
                    <w:rPr>
                      <w:rFonts w:ascii="Calibri" w:eastAsia="Times New Roman" w:hAnsi="Calibri" w:cs="Arial"/>
                      <w:b/>
                    </w:rPr>
                  </w:pPr>
                  <w:r w:rsidRPr="00147B8E">
                    <w:rPr>
                      <w:rFonts w:ascii="Calibri" w:eastAsia="Times New Roman" w:hAnsi="Calibri" w:cs="Arial"/>
                      <w:b/>
                    </w:rPr>
                    <w:t>Cost Table 3 - Candidate: Business Intelligence Administrator</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147B8E" w:rsidRPr="00147B8E" w14:paraId="3112F266" w14:textId="77777777" w:rsidTr="00224E48">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B62C5A"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07F7F"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7D5EB"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68DB5"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Unit cost</w:t>
                        </w:r>
                      </w:p>
                      <w:p w14:paraId="68C743F9"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7A4E3"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Annual cost</w:t>
                        </w:r>
                      </w:p>
                      <w:p w14:paraId="51CD74DA"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8A79C"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VAT rate</w:t>
                        </w:r>
                      </w:p>
                    </w:tc>
                  </w:tr>
                  <w:tr w:rsidR="00147B8E" w:rsidRPr="00147B8E" w14:paraId="605E5CAA"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0E05"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34289CED"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Standard daily rate ( 8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1518F20A"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A171C"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1325973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2425FCC2"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58B8CA6D"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5DCD2" w14:textId="77777777" w:rsidR="00147B8E" w:rsidRPr="00147B8E" w:rsidRDefault="00147B8E" w:rsidP="00147B8E">
                        <w:pPr>
                          <w:spacing w:line="276" w:lineRule="auto"/>
                          <w:rPr>
                            <w:rFonts w:ascii="Calibri" w:eastAsia="Times New Roman" w:hAnsi="Calibri" w:cs="Times New Roman"/>
                            <w:szCs w:val="24"/>
                            <w:lang w:val="en-GB"/>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24C52FD2"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p>
                      <w:p w14:paraId="3BC8425D" w14:textId="77777777" w:rsidR="00147B8E" w:rsidRPr="00147B8E" w:rsidRDefault="00147B8E" w:rsidP="00147B8E">
                        <w:pPr>
                          <w:spacing w:line="276" w:lineRule="auto"/>
                          <w:jc w:val="center"/>
                          <w:rPr>
                            <w:rFonts w:ascii="Calibri" w:eastAsia="Calibri" w:hAnsi="Calibri" w:cs="Times New Roman"/>
                            <w:b/>
                            <w:bCs/>
                            <w:color w:val="000000"/>
                            <w:szCs w:val="24"/>
                            <w:lang w:val="en-GB"/>
                          </w:rPr>
                        </w:pPr>
                        <w:r w:rsidRPr="00147B8E">
                          <w:rPr>
                            <w:rFonts w:ascii="Calibri" w:eastAsia="Times New Roman" w:hAnsi="Calibri" w:cs="Times New Roman"/>
                            <w:b/>
                            <w:bCs/>
                            <w:color w:val="000000"/>
                            <w:sz w:val="20"/>
                            <w:szCs w:val="20"/>
                            <w:lang w:val="en-GB"/>
                          </w:rPr>
                          <w:t xml:space="preserve">Total Annual Cost € (ex VAT) - </w:t>
                        </w:r>
                        <w:r w:rsidRPr="00147B8E">
                          <w:rPr>
                            <w:rFonts w:ascii="Calibri" w:eastAsia="Times New Roman" w:hAnsi="Calibri" w:cs="Times New Roman"/>
                            <w:b/>
                            <w:bCs/>
                            <w:color w:val="000000"/>
                            <w:sz w:val="20"/>
                            <w:szCs w:val="20"/>
                          </w:rPr>
                          <w:t>Business Intelligence Administrator</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0CA6B0AC"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p w14:paraId="71D46383"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7BFA9F28" w14:textId="77777777" w:rsidR="00147B8E" w:rsidRPr="00147B8E" w:rsidRDefault="00147B8E" w:rsidP="00147B8E">
                        <w:pPr>
                          <w:spacing w:line="276" w:lineRule="auto"/>
                          <w:rPr>
                            <w:rFonts w:ascii="Calibri" w:eastAsia="Times New Roman" w:hAnsi="Calibri" w:cs="Times New Roman"/>
                            <w:szCs w:val="24"/>
                            <w:lang w:val="en-GB"/>
                          </w:rPr>
                        </w:pPr>
                      </w:p>
                    </w:tc>
                  </w:tr>
                </w:tbl>
                <w:p w14:paraId="443A8C0B" w14:textId="77777777" w:rsidR="00147B8E" w:rsidRPr="00147B8E" w:rsidRDefault="00147B8E" w:rsidP="00147B8E">
                  <w:pPr>
                    <w:spacing w:line="276" w:lineRule="auto"/>
                    <w:rPr>
                      <w:rFonts w:ascii="Calibri" w:eastAsia="Times New Roman" w:hAnsi="Calibri" w:cs="Times New Roman"/>
                      <w:color w:val="FF0000"/>
                      <w:szCs w:val="24"/>
                      <w:lang w:val="en-GB"/>
                    </w:rPr>
                  </w:pPr>
                </w:p>
                <w:p w14:paraId="151B50AC" w14:textId="77777777" w:rsidR="00147B8E" w:rsidRPr="00147B8E" w:rsidRDefault="00147B8E" w:rsidP="00147B8E">
                  <w:pPr>
                    <w:spacing w:line="276" w:lineRule="auto"/>
                    <w:rPr>
                      <w:rFonts w:ascii="Calibri" w:eastAsia="Times New Roman" w:hAnsi="Calibri" w:cs="Arial"/>
                      <w:b/>
                    </w:rPr>
                  </w:pPr>
                  <w:r w:rsidRPr="00147B8E">
                    <w:rPr>
                      <w:rFonts w:ascii="Calibri" w:eastAsia="Times New Roman" w:hAnsi="Calibri" w:cs="Arial"/>
                      <w:b/>
                    </w:rPr>
                    <w:t>Cost Table 4 - Candidate: Applications Server Administrator</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147B8E" w:rsidRPr="00147B8E" w14:paraId="65533845" w14:textId="77777777" w:rsidTr="00224E48">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2A5AF"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B0431"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C8891"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0086D"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Unit cost</w:t>
                        </w:r>
                      </w:p>
                      <w:p w14:paraId="1D103137"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CC8F3"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Annual cost</w:t>
                        </w:r>
                      </w:p>
                      <w:p w14:paraId="63F5CE11"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F606E"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VAT rate</w:t>
                        </w:r>
                      </w:p>
                    </w:tc>
                  </w:tr>
                  <w:tr w:rsidR="00147B8E" w:rsidRPr="00147B8E" w14:paraId="3FE324AF"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2A6E0"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EE8CA39"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Standard daily rate (8  working hours Monday to Friday, or alternative day if specified)</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33A2C74C"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250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4793E"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3A6BEFB4"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59D79E5C"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4933E10E"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331AF" w14:textId="77777777" w:rsidR="00147B8E" w:rsidRPr="00147B8E" w:rsidRDefault="00147B8E" w:rsidP="00147B8E">
                        <w:pPr>
                          <w:spacing w:line="276" w:lineRule="auto"/>
                          <w:rPr>
                            <w:rFonts w:ascii="Calibri" w:eastAsia="Times New Roman" w:hAnsi="Calibri" w:cs="Times New Roman"/>
                            <w:szCs w:val="24"/>
                            <w:lang w:val="en-GB"/>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7D95AD75"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p>
                      <w:p w14:paraId="722C6C1E" w14:textId="77777777" w:rsidR="00147B8E" w:rsidRPr="00147B8E" w:rsidRDefault="00147B8E" w:rsidP="00147B8E">
                        <w:pPr>
                          <w:spacing w:line="276" w:lineRule="auto"/>
                          <w:jc w:val="center"/>
                          <w:rPr>
                            <w:rFonts w:ascii="Calibri" w:eastAsia="Calibri" w:hAnsi="Calibri" w:cs="Times New Roman"/>
                            <w:b/>
                            <w:bCs/>
                            <w:color w:val="000000"/>
                            <w:szCs w:val="24"/>
                            <w:lang w:val="en-GB"/>
                          </w:rPr>
                        </w:pPr>
                        <w:r w:rsidRPr="00147B8E">
                          <w:rPr>
                            <w:rFonts w:ascii="Calibri" w:eastAsia="Times New Roman" w:hAnsi="Calibri" w:cs="Times New Roman"/>
                            <w:b/>
                            <w:bCs/>
                            <w:color w:val="000000"/>
                            <w:sz w:val="20"/>
                            <w:szCs w:val="20"/>
                            <w:lang w:val="en-GB"/>
                          </w:rPr>
                          <w:t xml:space="preserve">Total Annual Cost € (ex VAT) - </w:t>
                        </w:r>
                        <w:r w:rsidRPr="00147B8E">
                          <w:rPr>
                            <w:rFonts w:ascii="Calibri" w:eastAsia="Times New Roman" w:hAnsi="Calibri" w:cs="Arial"/>
                            <w:b/>
                          </w:rPr>
                          <w:t>Applications Server Administrator</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2D3CBC9A"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p w14:paraId="0E1C239C"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688ECBF8" w14:textId="77777777" w:rsidR="00147B8E" w:rsidRPr="00147B8E" w:rsidRDefault="00147B8E" w:rsidP="00147B8E">
                        <w:pPr>
                          <w:spacing w:line="276" w:lineRule="auto"/>
                          <w:rPr>
                            <w:rFonts w:ascii="Calibri" w:eastAsia="Times New Roman" w:hAnsi="Calibri" w:cs="Times New Roman"/>
                            <w:szCs w:val="24"/>
                            <w:lang w:val="en-GB"/>
                          </w:rPr>
                        </w:pPr>
                      </w:p>
                    </w:tc>
                  </w:tr>
                </w:tbl>
                <w:p w14:paraId="664DA881" w14:textId="77777777" w:rsidR="00147B8E" w:rsidRPr="00147B8E" w:rsidRDefault="00147B8E" w:rsidP="00147B8E">
                  <w:pPr>
                    <w:spacing w:line="276" w:lineRule="auto"/>
                    <w:rPr>
                      <w:rFonts w:ascii="Calibri" w:eastAsia="Times New Roman" w:hAnsi="Calibri" w:cs="Times New Roman"/>
                      <w:color w:val="FF0000"/>
                      <w:szCs w:val="24"/>
                      <w:lang w:val="en-GB"/>
                    </w:rPr>
                  </w:pPr>
                </w:p>
                <w:p w14:paraId="4C465593" w14:textId="77777777" w:rsidR="00147B8E" w:rsidRPr="00147B8E" w:rsidRDefault="00147B8E" w:rsidP="00147B8E">
                  <w:pPr>
                    <w:spacing w:line="276" w:lineRule="auto"/>
                    <w:rPr>
                      <w:rFonts w:ascii="Calibri" w:eastAsia="Times New Roman" w:hAnsi="Calibri" w:cs="Arial"/>
                      <w:b/>
                    </w:rPr>
                  </w:pPr>
                  <w:r w:rsidRPr="00147B8E">
                    <w:rPr>
                      <w:rFonts w:ascii="Calibri" w:eastAsia="Times New Roman" w:hAnsi="Calibri" w:cs="Arial"/>
                      <w:b/>
                    </w:rPr>
                    <w:t>Cost Table 5 – Overtime, On-Call and Call-Out rates</w:t>
                  </w:r>
                </w:p>
                <w:tbl>
                  <w:tblPr>
                    <w:tblW w:w="9148" w:type="dxa"/>
                    <w:tblInd w:w="94" w:type="dxa"/>
                    <w:tblCellMar>
                      <w:left w:w="0" w:type="dxa"/>
                      <w:right w:w="0" w:type="dxa"/>
                    </w:tblCellMar>
                    <w:tblLook w:val="04A0" w:firstRow="1" w:lastRow="0" w:firstColumn="1" w:lastColumn="0" w:noHBand="0" w:noVBand="1"/>
                  </w:tblPr>
                  <w:tblGrid>
                    <w:gridCol w:w="623"/>
                    <w:gridCol w:w="4062"/>
                    <w:gridCol w:w="1249"/>
                    <w:gridCol w:w="1275"/>
                    <w:gridCol w:w="937"/>
                    <w:gridCol w:w="1002"/>
                  </w:tblGrid>
                  <w:tr w:rsidR="00147B8E" w:rsidRPr="00147B8E" w14:paraId="35A16854" w14:textId="77777777" w:rsidTr="00224E48">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DB3C8"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6CF27"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Item</w:t>
                        </w:r>
                      </w:p>
                    </w:tc>
                    <w:tc>
                      <w:tcPr>
                        <w:tcW w:w="1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600A9"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Estimated annual units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03FFAD"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Unit cost</w:t>
                        </w:r>
                      </w:p>
                      <w:p w14:paraId="71747719"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(ex VAT)</w:t>
                        </w:r>
                      </w:p>
                    </w:tc>
                    <w:tc>
                      <w:tcPr>
                        <w:tcW w:w="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9DF76"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Annual cost</w:t>
                        </w:r>
                      </w:p>
                      <w:p w14:paraId="41CE8291"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(ex VAT)</w:t>
                        </w:r>
                      </w:p>
                    </w:tc>
                    <w:tc>
                      <w:tcPr>
                        <w:tcW w:w="1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3C035"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VAT rate</w:t>
                        </w:r>
                      </w:p>
                    </w:tc>
                  </w:tr>
                  <w:tr w:rsidR="00147B8E" w:rsidRPr="00147B8E" w14:paraId="71B3920D" w14:textId="77777777" w:rsidTr="00224E48">
                    <w:trPr>
                      <w:trHeight w:val="51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C2567"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2 </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14A38D74"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Overtime hourly rate i.e. outside the standard working hours (Monday to Friday)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617654FC"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150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72A15"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0F0615A3"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7778D5EB"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3AEC2D8B"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6FC54"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3</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6E3AE2E0"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Overtime hourly rate Saturday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641EACB3"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30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43CA7"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74277C2D"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29D3BC5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23463E70"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BF73B"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4</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7683BB9"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Overtime hourly rate Sunday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64C7DEE7"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BF34AF"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5C550593"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44C3B6BD"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7AD60948"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616FE"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5</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83CF2FB"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Overtime hourly rate Public Holiday</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45423F74"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92ECB"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3ED4D99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06AB75E2"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29AC49E7"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F197A"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6</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9F11CC9"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Provision of 24x7x365 on-call - weekly rate</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21EA1F18"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52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795F1"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tcPr>
                      <w:p w14:paraId="76FFF732"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54BB1F4A"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30A673D2"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BEB99"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7</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65AA2DC3"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Call out per hour rate in response to an “on-call” call, voice or text, outside working hours. (see Note 2)</w:t>
                        </w:r>
                      </w:p>
                    </w:tc>
                    <w:tc>
                      <w:tcPr>
                        <w:tcW w:w="1249" w:type="dxa"/>
                        <w:tcBorders>
                          <w:top w:val="nil"/>
                          <w:left w:val="nil"/>
                          <w:bottom w:val="single" w:sz="8" w:space="0" w:color="auto"/>
                          <w:right w:val="single" w:sz="8" w:space="0" w:color="auto"/>
                        </w:tcBorders>
                        <w:tcMar>
                          <w:top w:w="0" w:type="dxa"/>
                          <w:left w:w="108" w:type="dxa"/>
                          <w:bottom w:w="0" w:type="dxa"/>
                          <w:right w:w="108" w:type="dxa"/>
                        </w:tcMar>
                        <w:hideMark/>
                      </w:tcPr>
                      <w:p w14:paraId="4CAA823B"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30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52FCF5" w14:textId="77777777" w:rsidR="00147B8E" w:rsidRPr="00147B8E" w:rsidRDefault="00147B8E" w:rsidP="00147B8E">
                        <w:pPr>
                          <w:spacing w:line="276" w:lineRule="auto"/>
                          <w:rPr>
                            <w:rFonts w:ascii="Calibri" w:eastAsia="Calibri" w:hAnsi="Calibri" w:cs="Times New Roman"/>
                            <w:color w:val="000000"/>
                            <w:szCs w:val="24"/>
                            <w:lang w:val="en-GB"/>
                          </w:rPr>
                        </w:pPr>
                        <w:r w:rsidRPr="00147B8E">
                          <w:rPr>
                            <w:rFonts w:ascii="Calibri" w:eastAsia="Times New Roman" w:hAnsi="Calibri" w:cs="Times New Roman"/>
                            <w:color w:val="000000"/>
                            <w:szCs w:val="24"/>
                            <w:lang w:val="en-GB"/>
                          </w:rPr>
                          <w:t> </w:t>
                        </w:r>
                      </w:p>
                    </w:tc>
                    <w:tc>
                      <w:tcPr>
                        <w:tcW w:w="937" w:type="dxa"/>
                        <w:tcBorders>
                          <w:top w:val="nil"/>
                          <w:left w:val="nil"/>
                          <w:bottom w:val="single" w:sz="18" w:space="0" w:color="auto"/>
                          <w:right w:val="single" w:sz="8" w:space="0" w:color="auto"/>
                        </w:tcBorders>
                        <w:tcMar>
                          <w:top w:w="0" w:type="dxa"/>
                          <w:left w:w="108" w:type="dxa"/>
                          <w:bottom w:w="0" w:type="dxa"/>
                          <w:right w:w="108" w:type="dxa"/>
                        </w:tcMar>
                      </w:tcPr>
                      <w:p w14:paraId="3EBF0F95"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42C59308"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076D4904"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617ED" w14:textId="77777777" w:rsidR="00147B8E" w:rsidRPr="00147B8E" w:rsidRDefault="00147B8E" w:rsidP="00147B8E">
                        <w:pPr>
                          <w:spacing w:line="276" w:lineRule="auto"/>
                          <w:rPr>
                            <w:rFonts w:ascii="Calibri" w:eastAsia="Times New Roman" w:hAnsi="Calibri" w:cs="Times New Roman"/>
                            <w:szCs w:val="24"/>
                            <w:lang w:val="en-GB"/>
                          </w:rPr>
                        </w:pPr>
                      </w:p>
                    </w:tc>
                    <w:tc>
                      <w:tcPr>
                        <w:tcW w:w="6586" w:type="dxa"/>
                        <w:gridSpan w:val="3"/>
                        <w:tcBorders>
                          <w:top w:val="nil"/>
                          <w:left w:val="nil"/>
                          <w:bottom w:val="single" w:sz="8" w:space="0" w:color="auto"/>
                          <w:right w:val="single" w:sz="18" w:space="0" w:color="auto"/>
                        </w:tcBorders>
                        <w:tcMar>
                          <w:top w:w="0" w:type="dxa"/>
                          <w:left w:w="108" w:type="dxa"/>
                          <w:bottom w:w="0" w:type="dxa"/>
                          <w:right w:w="108" w:type="dxa"/>
                        </w:tcMar>
                      </w:tcPr>
                      <w:p w14:paraId="70C0DABA"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p>
                      <w:p w14:paraId="319406AF" w14:textId="77777777" w:rsidR="00147B8E" w:rsidRPr="00147B8E" w:rsidRDefault="00147B8E" w:rsidP="00147B8E">
                        <w:pPr>
                          <w:spacing w:line="276" w:lineRule="auto"/>
                          <w:jc w:val="center"/>
                          <w:rPr>
                            <w:rFonts w:ascii="Calibri" w:eastAsia="Calibri" w:hAnsi="Calibri" w:cs="Times New Roman"/>
                            <w:b/>
                            <w:bCs/>
                            <w:color w:val="000000"/>
                            <w:szCs w:val="24"/>
                            <w:lang w:val="en-GB"/>
                          </w:rPr>
                        </w:pPr>
                        <w:r w:rsidRPr="00147B8E">
                          <w:rPr>
                            <w:rFonts w:ascii="Calibri" w:eastAsia="Times New Roman" w:hAnsi="Calibri" w:cs="Times New Roman"/>
                            <w:b/>
                            <w:bCs/>
                            <w:color w:val="000000"/>
                            <w:sz w:val="20"/>
                            <w:szCs w:val="20"/>
                            <w:lang w:val="en-GB"/>
                          </w:rPr>
                          <w:t>Total Annual Cost € (ex VAT) - Overtime, On-Call and Call-Out rates</w:t>
                        </w:r>
                      </w:p>
                    </w:tc>
                    <w:tc>
                      <w:tcPr>
                        <w:tcW w:w="937" w:type="dxa"/>
                        <w:tcBorders>
                          <w:top w:val="nil"/>
                          <w:left w:val="nil"/>
                          <w:bottom w:val="single" w:sz="18" w:space="0" w:color="auto"/>
                          <w:right w:val="single" w:sz="18" w:space="0" w:color="auto"/>
                        </w:tcBorders>
                        <w:tcMar>
                          <w:top w:w="0" w:type="dxa"/>
                          <w:left w:w="108" w:type="dxa"/>
                          <w:bottom w:w="0" w:type="dxa"/>
                          <w:right w:w="108" w:type="dxa"/>
                        </w:tcMar>
                      </w:tcPr>
                      <w:p w14:paraId="16D13DD2"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p w14:paraId="743D5762"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002" w:type="dxa"/>
                        <w:tcBorders>
                          <w:top w:val="nil"/>
                          <w:left w:val="nil"/>
                          <w:bottom w:val="single" w:sz="8" w:space="0" w:color="auto"/>
                          <w:right w:val="single" w:sz="8" w:space="0" w:color="auto"/>
                        </w:tcBorders>
                        <w:tcMar>
                          <w:top w:w="0" w:type="dxa"/>
                          <w:left w:w="108" w:type="dxa"/>
                          <w:bottom w:w="0" w:type="dxa"/>
                          <w:right w:w="108" w:type="dxa"/>
                        </w:tcMar>
                        <w:hideMark/>
                      </w:tcPr>
                      <w:p w14:paraId="704E5059" w14:textId="77777777" w:rsidR="00147B8E" w:rsidRPr="00147B8E" w:rsidRDefault="00147B8E" w:rsidP="00147B8E">
                        <w:pPr>
                          <w:spacing w:line="276" w:lineRule="auto"/>
                          <w:rPr>
                            <w:rFonts w:ascii="Calibri" w:eastAsia="Times New Roman" w:hAnsi="Calibri" w:cs="Times New Roman"/>
                            <w:szCs w:val="24"/>
                            <w:lang w:val="en-GB"/>
                          </w:rPr>
                        </w:pPr>
                      </w:p>
                    </w:tc>
                  </w:tr>
                </w:tbl>
                <w:p w14:paraId="0696DA79" w14:textId="77777777" w:rsidR="00147B8E" w:rsidRPr="00147B8E" w:rsidRDefault="00147B8E" w:rsidP="00147B8E">
                  <w:pPr>
                    <w:spacing w:line="276" w:lineRule="auto"/>
                    <w:rPr>
                      <w:rFonts w:ascii="Calibri" w:eastAsia="Times New Roman" w:hAnsi="Calibri" w:cs="Times New Roman"/>
                      <w:color w:val="FF0000"/>
                      <w:szCs w:val="24"/>
                      <w:lang w:val="en-GB"/>
                    </w:rPr>
                  </w:pPr>
                </w:p>
                <w:p w14:paraId="64481A63" w14:textId="77777777" w:rsidR="00147B8E" w:rsidRPr="00147B8E" w:rsidRDefault="00147B8E" w:rsidP="00147B8E">
                  <w:pPr>
                    <w:spacing w:line="276" w:lineRule="auto"/>
                    <w:rPr>
                      <w:rFonts w:ascii="Calibri" w:eastAsia="Times New Roman" w:hAnsi="Calibri" w:cs="Times New Roman"/>
                      <w:b/>
                      <w:szCs w:val="24"/>
                      <w:lang w:val="en-GB"/>
                    </w:rPr>
                  </w:pPr>
                  <w:r w:rsidRPr="00147B8E">
                    <w:rPr>
                      <w:rFonts w:ascii="Calibri" w:eastAsia="Times New Roman" w:hAnsi="Calibri" w:cs="Arial"/>
                      <w:b/>
                    </w:rPr>
                    <w:lastRenderedPageBreak/>
                    <w:t xml:space="preserve">Cost Table 6 - </w:t>
                  </w:r>
                  <w:r w:rsidRPr="00147B8E">
                    <w:rPr>
                      <w:rFonts w:ascii="Calibri" w:eastAsia="Times New Roman" w:hAnsi="Calibri" w:cs="Times New Roman"/>
                      <w:b/>
                      <w:szCs w:val="24"/>
                      <w:lang w:val="en-GB"/>
                    </w:rPr>
                    <w:t>Total Annual Cost Table</w:t>
                  </w:r>
                </w:p>
                <w:p w14:paraId="3D293E47" w14:textId="77777777" w:rsidR="00147B8E" w:rsidRPr="00147B8E" w:rsidRDefault="00147B8E" w:rsidP="00147B8E">
                  <w:pPr>
                    <w:spacing w:line="276" w:lineRule="auto"/>
                    <w:rPr>
                      <w:rFonts w:ascii="Calibri" w:eastAsia="Times New Roman" w:hAnsi="Calibri" w:cs="Times New Roman"/>
                      <w:szCs w:val="24"/>
                      <w:lang w:val="en-GB"/>
                    </w:rPr>
                  </w:pPr>
                  <w:r w:rsidRPr="00147B8E">
                    <w:rPr>
                      <w:rFonts w:ascii="Calibri" w:eastAsia="Times New Roman" w:hAnsi="Calibri" w:cs="Times New Roman"/>
                      <w:szCs w:val="24"/>
                      <w:lang w:val="en-GB"/>
                    </w:rPr>
                    <w:t xml:space="preserve">The Total Annual Cost of Service will be calculated by totalling the sum of the quoted Total Annual Costs quoted in Tables 1-5. </w:t>
                  </w:r>
                </w:p>
                <w:tbl>
                  <w:tblPr>
                    <w:tblW w:w="9086" w:type="dxa"/>
                    <w:tblInd w:w="94" w:type="dxa"/>
                    <w:tblCellMar>
                      <w:left w:w="0" w:type="dxa"/>
                      <w:right w:w="0" w:type="dxa"/>
                    </w:tblCellMar>
                    <w:tblLook w:val="04A0" w:firstRow="1" w:lastRow="0" w:firstColumn="1" w:lastColumn="0" w:noHBand="0" w:noVBand="1"/>
                  </w:tblPr>
                  <w:tblGrid>
                    <w:gridCol w:w="623"/>
                    <w:gridCol w:w="4062"/>
                    <w:gridCol w:w="2417"/>
                    <w:gridCol w:w="1984"/>
                  </w:tblGrid>
                  <w:tr w:rsidR="00147B8E" w:rsidRPr="00147B8E" w14:paraId="7E6E4041" w14:textId="77777777" w:rsidTr="00224E48">
                    <w:trPr>
                      <w:trHeight w:val="600"/>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46FC5C"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Item No</w:t>
                        </w:r>
                      </w:p>
                    </w:tc>
                    <w:tc>
                      <w:tcPr>
                        <w:tcW w:w="4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C5C12" w14:textId="77777777" w:rsidR="00147B8E" w:rsidRPr="00147B8E" w:rsidRDefault="00147B8E" w:rsidP="00147B8E">
                        <w:pPr>
                          <w:spacing w:line="276" w:lineRule="auto"/>
                          <w:rPr>
                            <w:rFonts w:ascii="Calibri" w:eastAsia="Calibri" w:hAnsi="Calibri" w:cs="Times New Roman"/>
                            <w:b/>
                            <w:bCs/>
                            <w:color w:val="000000"/>
                            <w:szCs w:val="24"/>
                            <w:lang w:val="en-GB"/>
                          </w:rPr>
                        </w:pPr>
                        <w:r w:rsidRPr="00147B8E">
                          <w:rPr>
                            <w:rFonts w:ascii="Calibri" w:eastAsia="Times New Roman" w:hAnsi="Calibri" w:cs="Times New Roman"/>
                            <w:b/>
                            <w:bCs/>
                            <w:color w:val="000000"/>
                            <w:szCs w:val="24"/>
                            <w:lang w:val="en-GB"/>
                          </w:rPr>
                          <w:t>Item</w:t>
                        </w:r>
                      </w:p>
                    </w:tc>
                    <w:tc>
                      <w:tcPr>
                        <w:tcW w:w="2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4E1C1"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Total Annual cost</w:t>
                        </w:r>
                      </w:p>
                      <w:p w14:paraId="630559F7"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(ex VAT)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59430D" w14:textId="77777777" w:rsidR="00147B8E" w:rsidRPr="00147B8E" w:rsidRDefault="00147B8E" w:rsidP="00147B8E">
                        <w:pPr>
                          <w:spacing w:line="276" w:lineRule="auto"/>
                          <w:jc w:val="center"/>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VAT rate</w:t>
                        </w:r>
                      </w:p>
                    </w:tc>
                  </w:tr>
                  <w:tr w:rsidR="00147B8E" w:rsidRPr="00147B8E" w14:paraId="5B9B0AAF" w14:textId="77777777" w:rsidTr="00224E48">
                    <w:trPr>
                      <w:trHeight w:val="76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40B73"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1</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3E583523" w14:textId="77777777" w:rsidR="00147B8E" w:rsidRPr="00147B8E" w:rsidRDefault="00147B8E" w:rsidP="00147B8E">
                        <w:pPr>
                          <w:spacing w:line="276" w:lineRule="auto"/>
                          <w:rPr>
                            <w:rFonts w:ascii="Calibri" w:eastAsia="Calibri" w:hAnsi="Calibri" w:cs="Times New Roman"/>
                            <w:color w:val="000000"/>
                            <w:sz w:val="20"/>
                            <w:szCs w:val="20"/>
                            <w:lang w:val="en-GB"/>
                          </w:rPr>
                        </w:pPr>
                        <w:r w:rsidRPr="00147B8E">
                          <w:rPr>
                            <w:rFonts w:ascii="Calibri" w:eastAsia="Times New Roman" w:hAnsi="Calibri" w:cs="Times New Roman"/>
                            <w:b/>
                            <w:bCs/>
                            <w:color w:val="000000"/>
                            <w:sz w:val="20"/>
                            <w:szCs w:val="20"/>
                            <w:lang w:val="en-GB"/>
                          </w:rPr>
                          <w:t>Total Annual Cost € (ex VAT) - Application Server Team Lead</w:t>
                        </w:r>
                      </w:p>
                    </w:tc>
                    <w:tc>
                      <w:tcPr>
                        <w:tcW w:w="2417" w:type="dxa"/>
                        <w:tcBorders>
                          <w:top w:val="nil"/>
                          <w:left w:val="nil"/>
                          <w:bottom w:val="single" w:sz="8" w:space="0" w:color="auto"/>
                          <w:right w:val="single" w:sz="8" w:space="0" w:color="auto"/>
                        </w:tcBorders>
                        <w:tcMar>
                          <w:top w:w="0" w:type="dxa"/>
                          <w:left w:w="108" w:type="dxa"/>
                          <w:bottom w:w="0" w:type="dxa"/>
                          <w:right w:w="108" w:type="dxa"/>
                        </w:tcMar>
                      </w:tcPr>
                      <w:p w14:paraId="58FB4AF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B76E77A"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0F40A00D" w14:textId="77777777" w:rsidTr="00224E48">
                    <w:trPr>
                      <w:trHeight w:val="51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5D3D5"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2 </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2CC80AD" w14:textId="77777777" w:rsidR="00147B8E" w:rsidRPr="00147B8E" w:rsidRDefault="00147B8E" w:rsidP="00147B8E">
                        <w:pPr>
                          <w:spacing w:line="276" w:lineRule="auto"/>
                          <w:rPr>
                            <w:rFonts w:ascii="Calibri" w:eastAsia="Times New Roman"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Total Annual Cost € (ex VAT) - WebLogic Specialist</w:t>
                        </w:r>
                      </w:p>
                    </w:tc>
                    <w:tc>
                      <w:tcPr>
                        <w:tcW w:w="2417" w:type="dxa"/>
                        <w:tcBorders>
                          <w:top w:val="nil"/>
                          <w:left w:val="nil"/>
                          <w:bottom w:val="single" w:sz="8" w:space="0" w:color="auto"/>
                          <w:right w:val="single" w:sz="8" w:space="0" w:color="auto"/>
                        </w:tcBorders>
                        <w:tcMar>
                          <w:top w:w="0" w:type="dxa"/>
                          <w:left w:w="108" w:type="dxa"/>
                          <w:bottom w:w="0" w:type="dxa"/>
                          <w:right w:w="108" w:type="dxa"/>
                        </w:tcMar>
                      </w:tcPr>
                      <w:p w14:paraId="1A712EB6"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319C8FF"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22F750B4"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8DC28"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3</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2F32B550" w14:textId="77777777" w:rsidR="00147B8E" w:rsidRPr="00147B8E" w:rsidRDefault="00147B8E" w:rsidP="00147B8E">
                        <w:pPr>
                          <w:spacing w:line="276" w:lineRule="auto"/>
                          <w:rPr>
                            <w:rFonts w:ascii="Calibri" w:eastAsia="Times New Roman"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Total Annual Cost € (ex VAT) - Business Intelligence Administrator</w:t>
                        </w:r>
                      </w:p>
                    </w:tc>
                    <w:tc>
                      <w:tcPr>
                        <w:tcW w:w="2417" w:type="dxa"/>
                        <w:tcBorders>
                          <w:top w:val="nil"/>
                          <w:left w:val="nil"/>
                          <w:bottom w:val="single" w:sz="8" w:space="0" w:color="auto"/>
                          <w:right w:val="single" w:sz="8" w:space="0" w:color="auto"/>
                        </w:tcBorders>
                        <w:tcMar>
                          <w:top w:w="0" w:type="dxa"/>
                          <w:left w:w="108" w:type="dxa"/>
                          <w:bottom w:w="0" w:type="dxa"/>
                          <w:right w:w="108" w:type="dxa"/>
                        </w:tcMar>
                      </w:tcPr>
                      <w:p w14:paraId="47627C2E"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842BA71"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17BEFECF"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FC018" w14:textId="77777777" w:rsidR="00147B8E" w:rsidRPr="00147B8E" w:rsidRDefault="00147B8E" w:rsidP="00147B8E">
                        <w:pPr>
                          <w:spacing w:line="276" w:lineRule="auto"/>
                          <w:jc w:val="center"/>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4</w:t>
                        </w:r>
                      </w:p>
                    </w:tc>
                    <w:tc>
                      <w:tcPr>
                        <w:tcW w:w="4062" w:type="dxa"/>
                        <w:tcBorders>
                          <w:top w:val="nil"/>
                          <w:left w:val="nil"/>
                          <w:bottom w:val="single" w:sz="8" w:space="0" w:color="auto"/>
                          <w:right w:val="single" w:sz="8" w:space="0" w:color="auto"/>
                        </w:tcBorders>
                        <w:tcMar>
                          <w:top w:w="0" w:type="dxa"/>
                          <w:left w:w="108" w:type="dxa"/>
                          <w:bottom w:w="0" w:type="dxa"/>
                          <w:right w:w="108" w:type="dxa"/>
                        </w:tcMar>
                        <w:hideMark/>
                      </w:tcPr>
                      <w:p w14:paraId="16D8FCC3" w14:textId="77777777" w:rsidR="00147B8E" w:rsidRPr="00147B8E" w:rsidRDefault="00147B8E" w:rsidP="00147B8E">
                        <w:pPr>
                          <w:spacing w:line="276" w:lineRule="auto"/>
                          <w:rPr>
                            <w:rFonts w:ascii="Calibri" w:eastAsia="Times New Roman"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Total Annual Cost € (ex VAT) - Applications Server Administrator</w:t>
                        </w:r>
                      </w:p>
                    </w:tc>
                    <w:tc>
                      <w:tcPr>
                        <w:tcW w:w="2417" w:type="dxa"/>
                        <w:tcBorders>
                          <w:top w:val="nil"/>
                          <w:left w:val="nil"/>
                          <w:bottom w:val="single" w:sz="18" w:space="0" w:color="auto"/>
                          <w:right w:val="single" w:sz="8" w:space="0" w:color="auto"/>
                        </w:tcBorders>
                        <w:tcMar>
                          <w:top w:w="0" w:type="dxa"/>
                          <w:left w:w="108" w:type="dxa"/>
                          <w:bottom w:w="0" w:type="dxa"/>
                          <w:right w:w="108" w:type="dxa"/>
                        </w:tcMar>
                      </w:tcPr>
                      <w:p w14:paraId="1D65867B"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AE4D4A7"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r w:rsidRPr="00147B8E">
                          <w:rPr>
                            <w:rFonts w:ascii="Calibri" w:eastAsia="Times New Roman" w:hAnsi="Calibri" w:cs="Times New Roman"/>
                            <w:color w:val="000000"/>
                            <w:sz w:val="20"/>
                            <w:szCs w:val="20"/>
                            <w:lang w:val="en-GB"/>
                          </w:rPr>
                          <w:t> </w:t>
                        </w:r>
                      </w:p>
                    </w:tc>
                  </w:tr>
                  <w:tr w:rsidR="00147B8E" w:rsidRPr="00147B8E" w14:paraId="1F76B585"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21382" w14:textId="77777777" w:rsidR="00147B8E" w:rsidRPr="00147B8E" w:rsidRDefault="00147B8E" w:rsidP="00147B8E">
                        <w:pPr>
                          <w:spacing w:line="276" w:lineRule="auto"/>
                          <w:jc w:val="center"/>
                          <w:rPr>
                            <w:rFonts w:ascii="Calibri" w:eastAsia="Times New Roman" w:hAnsi="Calibri" w:cs="Times New Roman"/>
                            <w:color w:val="000000"/>
                            <w:sz w:val="20"/>
                            <w:szCs w:val="20"/>
                            <w:lang w:val="en-GB"/>
                          </w:rPr>
                        </w:pPr>
                        <w:r w:rsidRPr="00147B8E">
                          <w:rPr>
                            <w:rFonts w:ascii="Calibri" w:eastAsia="Times New Roman" w:hAnsi="Calibri" w:cs="Times New Roman"/>
                            <w:color w:val="000000"/>
                            <w:sz w:val="20"/>
                            <w:szCs w:val="20"/>
                            <w:lang w:val="en-GB"/>
                          </w:rPr>
                          <w:t>5</w:t>
                        </w:r>
                      </w:p>
                    </w:tc>
                    <w:tc>
                      <w:tcPr>
                        <w:tcW w:w="4062" w:type="dxa"/>
                        <w:tcBorders>
                          <w:top w:val="nil"/>
                          <w:left w:val="nil"/>
                          <w:bottom w:val="single" w:sz="8" w:space="0" w:color="auto"/>
                          <w:right w:val="single" w:sz="8" w:space="0" w:color="auto"/>
                        </w:tcBorders>
                        <w:tcMar>
                          <w:top w:w="0" w:type="dxa"/>
                          <w:left w:w="108" w:type="dxa"/>
                          <w:bottom w:w="0" w:type="dxa"/>
                          <w:right w:w="108" w:type="dxa"/>
                        </w:tcMar>
                      </w:tcPr>
                      <w:p w14:paraId="22F32092" w14:textId="77777777" w:rsidR="00147B8E" w:rsidRPr="00147B8E" w:rsidRDefault="00147B8E" w:rsidP="00147B8E">
                        <w:pPr>
                          <w:spacing w:line="276" w:lineRule="auto"/>
                          <w:rPr>
                            <w:rFonts w:ascii="Calibri" w:eastAsia="Times New Roman"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Total Annual Cost € (ex VAT) - Overtime, On-Call and Call-Out rates</w:t>
                        </w:r>
                      </w:p>
                    </w:tc>
                    <w:tc>
                      <w:tcPr>
                        <w:tcW w:w="2417" w:type="dxa"/>
                        <w:tcBorders>
                          <w:top w:val="nil"/>
                          <w:left w:val="nil"/>
                          <w:bottom w:val="single" w:sz="18" w:space="0" w:color="auto"/>
                          <w:right w:val="single" w:sz="8" w:space="0" w:color="auto"/>
                        </w:tcBorders>
                        <w:tcMar>
                          <w:top w:w="0" w:type="dxa"/>
                          <w:left w:w="108" w:type="dxa"/>
                          <w:bottom w:w="0" w:type="dxa"/>
                          <w:right w:w="108" w:type="dxa"/>
                        </w:tcMar>
                      </w:tcPr>
                      <w:p w14:paraId="6435394F"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8E47559" w14:textId="77777777" w:rsidR="00147B8E" w:rsidRPr="00147B8E" w:rsidRDefault="00147B8E" w:rsidP="00147B8E">
                        <w:pPr>
                          <w:spacing w:line="276" w:lineRule="auto"/>
                          <w:jc w:val="both"/>
                          <w:rPr>
                            <w:rFonts w:ascii="Calibri" w:eastAsia="Times New Roman" w:hAnsi="Calibri" w:cs="Times New Roman"/>
                            <w:color w:val="000000"/>
                            <w:sz w:val="20"/>
                            <w:szCs w:val="20"/>
                            <w:lang w:val="en-GB"/>
                          </w:rPr>
                        </w:pPr>
                      </w:p>
                    </w:tc>
                  </w:tr>
                  <w:tr w:rsidR="00147B8E" w:rsidRPr="00147B8E" w14:paraId="32E6778E" w14:textId="77777777" w:rsidTr="00224E48">
                    <w:trPr>
                      <w:trHeight w:val="300"/>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6F28" w14:textId="77777777" w:rsidR="00147B8E" w:rsidRPr="00147B8E" w:rsidRDefault="00147B8E" w:rsidP="00147B8E">
                        <w:pPr>
                          <w:spacing w:line="276" w:lineRule="auto"/>
                          <w:rPr>
                            <w:rFonts w:ascii="Calibri" w:eastAsia="Times New Roman" w:hAnsi="Calibri" w:cs="Times New Roman"/>
                            <w:szCs w:val="24"/>
                            <w:lang w:val="en-GB"/>
                          </w:rPr>
                        </w:pPr>
                      </w:p>
                    </w:tc>
                    <w:tc>
                      <w:tcPr>
                        <w:tcW w:w="4062" w:type="dxa"/>
                        <w:tcBorders>
                          <w:top w:val="nil"/>
                          <w:left w:val="nil"/>
                          <w:bottom w:val="single" w:sz="8" w:space="0" w:color="auto"/>
                          <w:right w:val="single" w:sz="18" w:space="0" w:color="auto"/>
                        </w:tcBorders>
                        <w:tcMar>
                          <w:top w:w="0" w:type="dxa"/>
                          <w:left w:w="108" w:type="dxa"/>
                          <w:bottom w:w="0" w:type="dxa"/>
                          <w:right w:w="108" w:type="dxa"/>
                        </w:tcMar>
                      </w:tcPr>
                      <w:p w14:paraId="329B2215" w14:textId="77777777" w:rsidR="00147B8E" w:rsidRPr="00147B8E" w:rsidRDefault="00147B8E" w:rsidP="00147B8E">
                        <w:pPr>
                          <w:spacing w:line="276" w:lineRule="auto"/>
                          <w:rPr>
                            <w:rFonts w:ascii="Calibri" w:eastAsia="Calibri" w:hAnsi="Calibri" w:cs="Times New Roman"/>
                            <w:b/>
                            <w:bCs/>
                            <w:color w:val="000000"/>
                            <w:sz w:val="20"/>
                            <w:szCs w:val="20"/>
                            <w:lang w:val="en-GB"/>
                          </w:rPr>
                        </w:pPr>
                      </w:p>
                      <w:p w14:paraId="04773D39" w14:textId="77777777" w:rsidR="00147B8E" w:rsidRPr="00147B8E" w:rsidRDefault="00147B8E" w:rsidP="00147B8E">
                        <w:pPr>
                          <w:spacing w:line="276" w:lineRule="auto"/>
                          <w:rPr>
                            <w:rFonts w:ascii="Calibri" w:eastAsia="Calibri" w:hAnsi="Calibri" w:cs="Times New Roman"/>
                            <w:b/>
                            <w:bCs/>
                            <w:color w:val="000000"/>
                            <w:sz w:val="20"/>
                            <w:szCs w:val="20"/>
                            <w:lang w:val="en-GB"/>
                          </w:rPr>
                        </w:pPr>
                        <w:r w:rsidRPr="00147B8E">
                          <w:rPr>
                            <w:rFonts w:ascii="Calibri" w:eastAsia="Times New Roman" w:hAnsi="Calibri" w:cs="Times New Roman"/>
                            <w:b/>
                            <w:bCs/>
                            <w:color w:val="000000"/>
                            <w:sz w:val="20"/>
                            <w:szCs w:val="20"/>
                            <w:lang w:val="en-GB"/>
                          </w:rPr>
                          <w:t>Total Annual Cost of Service  €(ex VAT)</w:t>
                        </w:r>
                      </w:p>
                    </w:tc>
                    <w:tc>
                      <w:tcPr>
                        <w:tcW w:w="2417" w:type="dxa"/>
                        <w:tcBorders>
                          <w:top w:val="nil"/>
                          <w:left w:val="nil"/>
                          <w:bottom w:val="single" w:sz="18" w:space="0" w:color="auto"/>
                          <w:right w:val="single" w:sz="18" w:space="0" w:color="auto"/>
                        </w:tcBorders>
                        <w:tcMar>
                          <w:top w:w="0" w:type="dxa"/>
                          <w:left w:w="108" w:type="dxa"/>
                          <w:bottom w:w="0" w:type="dxa"/>
                          <w:right w:w="108" w:type="dxa"/>
                        </w:tcMar>
                      </w:tcPr>
                      <w:p w14:paraId="6D747305"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p w14:paraId="276D7350" w14:textId="77777777" w:rsidR="00147B8E" w:rsidRPr="00147B8E" w:rsidRDefault="00147B8E" w:rsidP="00147B8E">
                        <w:pPr>
                          <w:spacing w:line="276" w:lineRule="auto"/>
                          <w:jc w:val="both"/>
                          <w:rPr>
                            <w:rFonts w:ascii="Calibri" w:eastAsia="Calibri" w:hAnsi="Calibri" w:cs="Times New Roman"/>
                            <w:color w:val="000000"/>
                            <w:sz w:val="20"/>
                            <w:szCs w:val="20"/>
                            <w:lang w:val="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CED9E81" w14:textId="77777777" w:rsidR="00147B8E" w:rsidRPr="00147B8E" w:rsidRDefault="00147B8E" w:rsidP="00147B8E">
                        <w:pPr>
                          <w:spacing w:line="276" w:lineRule="auto"/>
                          <w:rPr>
                            <w:rFonts w:ascii="Calibri" w:eastAsia="Times New Roman" w:hAnsi="Calibri" w:cs="Times New Roman"/>
                            <w:szCs w:val="24"/>
                            <w:lang w:val="en-GB"/>
                          </w:rPr>
                        </w:pPr>
                      </w:p>
                    </w:tc>
                  </w:tr>
                </w:tbl>
                <w:p w14:paraId="4E85615F" w14:textId="77777777" w:rsidR="00147B8E" w:rsidRPr="00147B8E" w:rsidRDefault="00147B8E" w:rsidP="00147B8E">
                  <w:pPr>
                    <w:spacing w:line="276" w:lineRule="auto"/>
                    <w:rPr>
                      <w:rFonts w:ascii="Calibri" w:eastAsia="Times New Roman" w:hAnsi="Calibri" w:cs="Times New Roman"/>
                      <w:color w:val="FF0000"/>
                      <w:szCs w:val="24"/>
                      <w:lang w:val="en-GB"/>
                    </w:rPr>
                  </w:pPr>
                </w:p>
                <w:p w14:paraId="6DF54ABB" w14:textId="77777777" w:rsidR="00147B8E" w:rsidRPr="00147B8E" w:rsidRDefault="00147B8E" w:rsidP="00147B8E">
                  <w:pPr>
                    <w:autoSpaceDE w:val="0"/>
                    <w:autoSpaceDN w:val="0"/>
                    <w:adjustRightInd w:val="0"/>
                    <w:spacing w:after="0"/>
                    <w:rPr>
                      <w:rFonts w:ascii="Calibri" w:eastAsia="Times New Roman" w:hAnsi="Calibri" w:cs="Times New Roman"/>
                      <w:color w:val="000000"/>
                      <w:sz w:val="23"/>
                      <w:szCs w:val="23"/>
                      <w:lang w:eastAsia="en-IE"/>
                    </w:rPr>
                  </w:pPr>
                  <w:r w:rsidRPr="00147B8E">
                    <w:rPr>
                      <w:rFonts w:ascii="Calibri" w:eastAsia="Times New Roman" w:hAnsi="Calibri" w:cs="Times New Roman"/>
                      <w:color w:val="000000"/>
                      <w:sz w:val="23"/>
                      <w:szCs w:val="23"/>
                      <w:lang w:eastAsia="en-IE"/>
                    </w:rPr>
                    <w:t>It should be noted that the Department will use a standard formula to calculate the marks in respect of ‘</w:t>
                  </w:r>
                  <w:r w:rsidRPr="00147B8E">
                    <w:rPr>
                      <w:rFonts w:ascii="Calibri" w:eastAsia="Times New Roman" w:hAnsi="Calibri" w:cs="Times New Roman"/>
                      <w:color w:val="000000"/>
                      <w:sz w:val="24"/>
                      <w:szCs w:val="24"/>
                      <w:lang w:eastAsia="en-IE"/>
                    </w:rPr>
                    <w:t>Total Annual Cost of Service</w:t>
                  </w:r>
                  <w:r w:rsidRPr="00147B8E">
                    <w:rPr>
                      <w:rFonts w:ascii="Calibri" w:eastAsia="Times New Roman" w:hAnsi="Calibri" w:cs="Times New Roman"/>
                      <w:color w:val="000000"/>
                      <w:sz w:val="23"/>
                      <w:szCs w:val="23"/>
                      <w:lang w:eastAsia="en-IE"/>
                    </w:rPr>
                    <w:t xml:space="preserve">’, whereby maximum marks are awarded to the lowest priced proposal and proposed costs of the remaining Tenders are expressed as a percentage of the lowest priced tender (Inverse Proportionality). </w:t>
                  </w:r>
                </w:p>
                <w:p w14:paraId="7640E43D" w14:textId="77777777" w:rsidR="00147B8E" w:rsidRPr="00147B8E" w:rsidRDefault="00147B8E" w:rsidP="00147B8E">
                  <w:pPr>
                    <w:autoSpaceDE w:val="0"/>
                    <w:autoSpaceDN w:val="0"/>
                    <w:adjustRightInd w:val="0"/>
                    <w:spacing w:after="0"/>
                    <w:rPr>
                      <w:rFonts w:ascii="Calibri" w:eastAsia="Times New Roman" w:hAnsi="Calibri" w:cs="Times New Roman"/>
                      <w:color w:val="000000"/>
                      <w:sz w:val="23"/>
                      <w:szCs w:val="23"/>
                      <w:lang w:eastAsia="en-IE"/>
                    </w:rPr>
                  </w:pPr>
                </w:p>
                <w:p w14:paraId="3280DF30" w14:textId="77777777" w:rsidR="00147B8E" w:rsidRPr="00147B8E" w:rsidRDefault="00147B8E" w:rsidP="00147B8E">
                  <w:pPr>
                    <w:autoSpaceDE w:val="0"/>
                    <w:autoSpaceDN w:val="0"/>
                    <w:adjustRightInd w:val="0"/>
                    <w:spacing w:after="0"/>
                    <w:rPr>
                      <w:rFonts w:ascii="Calibri" w:eastAsia="Times New Roman" w:hAnsi="Calibri" w:cs="Times New Roman"/>
                      <w:color w:val="000000"/>
                      <w:sz w:val="23"/>
                      <w:szCs w:val="23"/>
                      <w:lang w:eastAsia="en-IE"/>
                    </w:rPr>
                  </w:pPr>
                  <w:r w:rsidRPr="00147B8E">
                    <w:rPr>
                      <w:rFonts w:ascii="Calibri" w:eastAsia="Times New Roman" w:hAnsi="Calibri" w:cs="Times New Roman"/>
                      <w:color w:val="000000"/>
                      <w:sz w:val="23"/>
                      <w:szCs w:val="23"/>
                      <w:lang w:eastAsia="en-IE"/>
                    </w:rPr>
                    <w:t xml:space="preserve">The standard formula for the price evaluation of Section 1.2 will be as follows: </w:t>
                  </w:r>
                </w:p>
                <w:p w14:paraId="14FF04FD" w14:textId="77777777" w:rsidR="00147B8E" w:rsidRPr="00147B8E" w:rsidRDefault="00147B8E" w:rsidP="00147B8E">
                  <w:pPr>
                    <w:autoSpaceDE w:val="0"/>
                    <w:autoSpaceDN w:val="0"/>
                    <w:adjustRightInd w:val="0"/>
                    <w:spacing w:after="0"/>
                    <w:rPr>
                      <w:rFonts w:ascii="Calibri" w:eastAsia="Times New Roman" w:hAnsi="Calibri" w:cs="Times New Roman"/>
                      <w:color w:val="000000"/>
                      <w:sz w:val="23"/>
                      <w:szCs w:val="23"/>
                      <w:lang w:eastAsia="en-IE"/>
                    </w:rPr>
                  </w:pPr>
                </w:p>
                <w:p w14:paraId="166F1B81" w14:textId="77777777" w:rsidR="00147B8E" w:rsidRPr="00147B8E" w:rsidRDefault="00147B8E" w:rsidP="00147B8E">
                  <w:pPr>
                    <w:autoSpaceDE w:val="0"/>
                    <w:autoSpaceDN w:val="0"/>
                    <w:adjustRightInd w:val="0"/>
                    <w:spacing w:after="0"/>
                    <w:rPr>
                      <w:rFonts w:ascii="Calibri" w:eastAsia="Times New Roman" w:hAnsi="Calibri" w:cs="Times New Roman"/>
                      <w:b/>
                      <w:color w:val="000000"/>
                      <w:sz w:val="23"/>
                      <w:szCs w:val="23"/>
                      <w:lang w:eastAsia="en-IE"/>
                    </w:rPr>
                  </w:pPr>
                  <w:r w:rsidRPr="00147B8E">
                    <w:rPr>
                      <w:rFonts w:ascii="Calibri" w:eastAsia="Times New Roman" w:hAnsi="Calibri" w:cs="Times New Roman"/>
                      <w:b/>
                      <w:color w:val="000000"/>
                      <w:sz w:val="23"/>
                      <w:szCs w:val="23"/>
                      <w:lang w:eastAsia="en-IE"/>
                    </w:rPr>
                    <w:t xml:space="preserve">Cost Score  = </w:t>
                  </w:r>
                  <w:r w:rsidRPr="00147B8E">
                    <w:rPr>
                      <w:rFonts w:ascii="Calibri" w:eastAsia="Times New Roman" w:hAnsi="Calibri" w:cs="Times New Roman"/>
                      <w:b/>
                      <w:color w:val="000000"/>
                      <w:sz w:val="23"/>
                      <w:szCs w:val="23"/>
                      <w:u w:val="single"/>
                      <w:lang w:eastAsia="en-IE"/>
                    </w:rPr>
                    <w:t>Maximum points available x Lowest Tendered Total Annual Cost of Service</w:t>
                  </w:r>
                  <w:r w:rsidRPr="00147B8E">
                    <w:rPr>
                      <w:rFonts w:ascii="Calibri" w:eastAsia="Times New Roman" w:hAnsi="Calibri" w:cs="Times New Roman"/>
                      <w:b/>
                      <w:color w:val="000000"/>
                      <w:sz w:val="23"/>
                      <w:szCs w:val="23"/>
                      <w:lang w:eastAsia="en-IE"/>
                    </w:rPr>
                    <w:t xml:space="preserve"> </w:t>
                  </w:r>
                </w:p>
                <w:p w14:paraId="3F7EE32E" w14:textId="77777777" w:rsidR="00147B8E" w:rsidRPr="00147B8E" w:rsidRDefault="00147B8E" w:rsidP="00147B8E">
                  <w:pPr>
                    <w:spacing w:line="276" w:lineRule="auto"/>
                    <w:jc w:val="center"/>
                    <w:rPr>
                      <w:rFonts w:ascii="Calibri" w:eastAsia="Times New Roman" w:hAnsi="Calibri" w:cs="Times New Roman"/>
                      <w:b/>
                      <w:szCs w:val="24"/>
                      <w:lang w:val="en-GB"/>
                    </w:rPr>
                  </w:pPr>
                  <w:r w:rsidRPr="00147B8E">
                    <w:rPr>
                      <w:rFonts w:ascii="Calibri" w:eastAsia="Times New Roman" w:hAnsi="Calibri" w:cs="Times New Roman"/>
                      <w:b/>
                      <w:sz w:val="23"/>
                      <w:szCs w:val="23"/>
                      <w:lang w:val="en-GB"/>
                    </w:rPr>
                    <w:t>Total Annual Cost of Service for Tender under consideration</w:t>
                  </w:r>
                </w:p>
                <w:p w14:paraId="01DE21D9" w14:textId="77777777" w:rsidR="00147B8E" w:rsidRPr="00147B8E" w:rsidRDefault="00147B8E" w:rsidP="00147B8E">
                  <w:pPr>
                    <w:spacing w:line="276" w:lineRule="auto"/>
                    <w:rPr>
                      <w:rFonts w:ascii="Calibri" w:eastAsia="Times New Roman" w:hAnsi="Calibri" w:cs="Times New Roman"/>
                      <w:szCs w:val="24"/>
                      <w:lang w:val="en-GB"/>
                    </w:rPr>
                  </w:pPr>
                </w:p>
                <w:p w14:paraId="41C535E8" w14:textId="77777777" w:rsidR="00147B8E" w:rsidRPr="00147B8E" w:rsidRDefault="00147B8E" w:rsidP="00147B8E">
                  <w:pPr>
                    <w:spacing w:line="276" w:lineRule="auto"/>
                    <w:rPr>
                      <w:rFonts w:ascii="Calibri" w:eastAsia="Times New Roman" w:hAnsi="Calibri" w:cs="Times New Roman"/>
                      <w:b/>
                      <w:szCs w:val="24"/>
                      <w:lang w:val="en-GB"/>
                    </w:rPr>
                  </w:pPr>
                  <w:r w:rsidRPr="00147B8E">
                    <w:rPr>
                      <w:rFonts w:ascii="Calibri" w:eastAsia="Times New Roman" w:hAnsi="Calibri" w:cs="Times New Roman"/>
                      <w:b/>
                      <w:szCs w:val="24"/>
                      <w:lang w:val="en-GB"/>
                    </w:rPr>
                    <w:t>Notes:</w:t>
                  </w:r>
                </w:p>
                <w:p w14:paraId="45B1E857" w14:textId="77777777" w:rsidR="00147B8E" w:rsidRPr="00147B8E" w:rsidRDefault="00147B8E" w:rsidP="00147B8E">
                  <w:pPr>
                    <w:spacing w:line="276" w:lineRule="auto"/>
                    <w:ind w:left="709" w:hanging="709"/>
                    <w:rPr>
                      <w:rFonts w:ascii="Calibri" w:eastAsia="Times New Roman" w:hAnsi="Calibri" w:cs="Times New Roman"/>
                      <w:szCs w:val="24"/>
                      <w:lang w:val="en-GB"/>
                    </w:rPr>
                  </w:pPr>
                  <w:r w:rsidRPr="00147B8E">
                    <w:rPr>
                      <w:rFonts w:ascii="Calibri" w:eastAsia="Times New Roman" w:hAnsi="Calibri" w:cs="Times New Roman"/>
                      <w:szCs w:val="24"/>
                      <w:lang w:val="en-GB"/>
                    </w:rPr>
                    <w:t>1</w:t>
                  </w:r>
                  <w:r w:rsidRPr="00147B8E">
                    <w:rPr>
                      <w:rFonts w:ascii="Calibri" w:eastAsia="Times New Roman" w:hAnsi="Calibri" w:cs="Times New Roman"/>
                      <w:szCs w:val="24"/>
                      <w:lang w:val="en-GB"/>
                    </w:rPr>
                    <w:tab/>
                    <w:t xml:space="preserve">The number of units used for estimating the annual cost is not an offer and should not be interpreted as the number of hours/ days that will be worked. The requirements will be determined from time to time by the Department based on operational considerations and there is no guarantee that the estimated annual units will be offered to the successful tenderer. </w:t>
                  </w:r>
                  <w:r w:rsidRPr="00147B8E">
                    <w:rPr>
                      <w:rFonts w:ascii="Calibri" w:eastAsia="Times New Roman" w:hAnsi="Calibri" w:cs="Times New Roman"/>
                      <w:iCs/>
                      <w:szCs w:val="24"/>
                      <w:lang w:val="en-GB"/>
                    </w:rPr>
                    <w:t>The unit cost rates quoted by the successful tender in respect of each Candidate role will the contractual basis for pricing over the term of the proposed contract (subject to price reviews as per paragraph 2.10.6 of this RFT).</w:t>
                  </w:r>
                </w:p>
                <w:p w14:paraId="552B2107" w14:textId="77777777" w:rsidR="00147B8E" w:rsidRPr="00147B8E" w:rsidRDefault="00147B8E" w:rsidP="00147B8E">
                  <w:pPr>
                    <w:spacing w:line="276" w:lineRule="auto"/>
                    <w:rPr>
                      <w:rFonts w:ascii="Calibri" w:eastAsia="Times New Roman" w:hAnsi="Calibri" w:cs="Times New Roman"/>
                      <w:szCs w:val="24"/>
                      <w:lang w:val="en-GB"/>
                    </w:rPr>
                  </w:pPr>
                </w:p>
                <w:p w14:paraId="729EF80F" w14:textId="77777777" w:rsidR="00147B8E" w:rsidRPr="00147B8E" w:rsidRDefault="00147B8E" w:rsidP="00147B8E">
                  <w:pPr>
                    <w:spacing w:line="276" w:lineRule="auto"/>
                    <w:ind w:left="709" w:hanging="709"/>
                    <w:rPr>
                      <w:rFonts w:ascii="Calibri" w:eastAsia="Times New Roman" w:hAnsi="Calibri" w:cs="Times New Roman"/>
                      <w:szCs w:val="24"/>
                      <w:lang w:val="en-GB"/>
                    </w:rPr>
                  </w:pPr>
                  <w:r w:rsidRPr="00147B8E">
                    <w:rPr>
                      <w:rFonts w:ascii="Calibri" w:eastAsia="Times New Roman" w:hAnsi="Calibri" w:cs="Times New Roman"/>
                      <w:szCs w:val="24"/>
                      <w:lang w:val="en-GB"/>
                    </w:rPr>
                    <w:t>2</w:t>
                  </w:r>
                  <w:r w:rsidRPr="00147B8E">
                    <w:rPr>
                      <w:rFonts w:ascii="Calibri" w:eastAsia="Times New Roman" w:hAnsi="Calibri" w:cs="Times New Roman"/>
                      <w:szCs w:val="24"/>
                      <w:lang w:val="en-GB"/>
                    </w:rPr>
                    <w:tab/>
                    <w:t>If there if there is no additional charge for responding to an “on-call” call, i.e. it is charged at the appropriate overtime rate (Sat, Sun, B/H, etc), then the overtime rate for Sunday will be used to calculate the estimated overall costs.</w:t>
                  </w:r>
                </w:p>
                <w:p w14:paraId="579F5494" w14:textId="77777777" w:rsidR="00147B8E" w:rsidRPr="00147B8E" w:rsidRDefault="00147B8E" w:rsidP="00147B8E">
                  <w:pPr>
                    <w:spacing w:line="276" w:lineRule="auto"/>
                    <w:rPr>
                      <w:rFonts w:ascii="Calibri" w:eastAsia="Times New Roman" w:hAnsi="Calibri" w:cs="Times New Roman"/>
                      <w:sz w:val="28"/>
                      <w:szCs w:val="28"/>
                      <w:u w:val="single"/>
                      <w:lang w:val="en-GB"/>
                    </w:rPr>
                  </w:pPr>
                </w:p>
                <w:p w14:paraId="167C98CB" w14:textId="77777777" w:rsidR="00147B8E" w:rsidRPr="00147B8E" w:rsidRDefault="00147B8E" w:rsidP="00147B8E">
                  <w:pPr>
                    <w:spacing w:line="276" w:lineRule="auto"/>
                    <w:rPr>
                      <w:rFonts w:ascii="Calibri" w:eastAsia="Times New Roman" w:hAnsi="Calibri" w:cs="Times New Roman"/>
                      <w:b/>
                      <w:bCs/>
                      <w:szCs w:val="24"/>
                      <w:u w:val="single"/>
                      <w:lang w:val="en-GB"/>
                    </w:rPr>
                  </w:pPr>
                  <w:r w:rsidRPr="00147B8E">
                    <w:rPr>
                      <w:rFonts w:ascii="Calibri" w:eastAsia="Times New Roman" w:hAnsi="Calibri" w:cs="Times New Roman"/>
                      <w:b/>
                      <w:bCs/>
                      <w:szCs w:val="24"/>
                      <w:u w:val="single"/>
                      <w:lang w:val="en-GB"/>
                    </w:rPr>
                    <w:lastRenderedPageBreak/>
                    <w:t>Standard Working Week</w:t>
                  </w:r>
                </w:p>
                <w:p w14:paraId="44FE7438"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 xml:space="preserve">The standard working week for all resources will be Monday to Friday from 9 a.m. to 6 p.m. with a one (1) hour lunch break i.e. an eight (8) hour working day. The Contracting Authority, may, in specific circumstances propose or agree an alternate workday arrangement for the Team or members within a team to suit the requirements of the project/business process. </w:t>
                  </w:r>
                </w:p>
                <w:p w14:paraId="70BD6554"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p>
                <w:p w14:paraId="2CE53151"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r w:rsidRPr="00147B8E">
                    <w:rPr>
                      <w:rFonts w:ascii="Calibri" w:eastAsia="Times New Roman" w:hAnsi="Calibri" w:cs="Times New Roman"/>
                      <w:b/>
                      <w:bCs/>
                      <w:szCs w:val="24"/>
                      <w:u w:val="single"/>
                      <w:lang w:val="en-GB"/>
                    </w:rPr>
                    <w:t>Additional Hours</w:t>
                  </w:r>
                </w:p>
                <w:p w14:paraId="6FA1B62E"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The Contracting Authority does not envisage that additional hours will be required except in the case of emergencies. However, if additional hours are required at any other time outside of the normal working day, the Contracting Authority will remunerate these additional hours as follows:</w:t>
                  </w:r>
                </w:p>
                <w:p w14:paraId="29D70709" w14:textId="77777777" w:rsidR="00147B8E" w:rsidRPr="00147B8E" w:rsidRDefault="00147B8E" w:rsidP="00147B8E">
                  <w:pPr>
                    <w:spacing w:line="240" w:lineRule="atLeast"/>
                    <w:ind w:right="-1"/>
                    <w:rPr>
                      <w:rFonts w:ascii="Calibri" w:eastAsia="Times New Roman" w:hAnsi="Calibri" w:cs="Times New Roman"/>
                      <w:szCs w:val="24"/>
                      <w:lang w:val="en-GB"/>
                    </w:rPr>
                  </w:pPr>
                </w:p>
                <w:p w14:paraId="3935B5B8" w14:textId="77777777" w:rsidR="00147B8E" w:rsidRPr="00147B8E" w:rsidRDefault="00147B8E" w:rsidP="00147B8E">
                  <w:pPr>
                    <w:numPr>
                      <w:ilvl w:val="0"/>
                      <w:numId w:val="58"/>
                    </w:numPr>
                    <w:spacing w:after="0" w:line="240" w:lineRule="atLeast"/>
                    <w:ind w:right="-1"/>
                    <w:contextualSpacing/>
                    <w:rPr>
                      <w:rFonts w:ascii="Calibri" w:eastAsia="Times New Roman" w:hAnsi="Calibri" w:cs="Times New Roman"/>
                      <w:szCs w:val="24"/>
                      <w:lang w:val="en-GB"/>
                    </w:rPr>
                  </w:pPr>
                  <w:r w:rsidRPr="00147B8E">
                    <w:rPr>
                      <w:rFonts w:ascii="Calibri" w:eastAsia="Times New Roman" w:hAnsi="Calibri" w:cs="Times New Roman"/>
                      <w:szCs w:val="24"/>
                      <w:lang w:val="en-GB"/>
                    </w:rPr>
                    <w:t xml:space="preserve">Hourly rate for the first eight (8) hours in the week (Monday – Sunday). </w:t>
                  </w:r>
                </w:p>
                <w:p w14:paraId="5C891854" w14:textId="77777777" w:rsidR="00147B8E" w:rsidRPr="00147B8E" w:rsidRDefault="00147B8E" w:rsidP="00147B8E">
                  <w:pPr>
                    <w:spacing w:line="240" w:lineRule="atLeast"/>
                    <w:ind w:left="720" w:right="-1"/>
                    <w:contextualSpacing/>
                    <w:rPr>
                      <w:rFonts w:ascii="Calibri" w:eastAsia="Times New Roman" w:hAnsi="Calibri" w:cs="Times New Roman"/>
                      <w:szCs w:val="24"/>
                      <w:lang w:val="en-GB"/>
                    </w:rPr>
                  </w:pPr>
                  <w:r w:rsidRPr="00147B8E">
                    <w:rPr>
                      <w:rFonts w:ascii="Calibri" w:eastAsia="Times New Roman" w:hAnsi="Calibri" w:cs="Times New Roman"/>
                      <w:szCs w:val="24"/>
                      <w:lang w:val="en-GB"/>
                    </w:rPr>
                    <w:t>The hourly rate is calculated as the daily rate for the resource divided by eight (8)</w:t>
                  </w:r>
                </w:p>
                <w:p w14:paraId="1277291B" w14:textId="77777777" w:rsidR="00147B8E" w:rsidRPr="00147B8E" w:rsidRDefault="00147B8E" w:rsidP="00147B8E">
                  <w:pPr>
                    <w:spacing w:line="240" w:lineRule="atLeast"/>
                    <w:ind w:right="-1"/>
                    <w:rPr>
                      <w:rFonts w:ascii="Calibri" w:eastAsia="Times New Roman" w:hAnsi="Calibri" w:cs="Times New Roman"/>
                      <w:szCs w:val="24"/>
                      <w:lang w:val="en-GB"/>
                    </w:rPr>
                  </w:pPr>
                </w:p>
                <w:p w14:paraId="0070BB71" w14:textId="77777777" w:rsidR="00147B8E" w:rsidRPr="00147B8E" w:rsidRDefault="00147B8E" w:rsidP="00147B8E">
                  <w:pPr>
                    <w:numPr>
                      <w:ilvl w:val="0"/>
                      <w:numId w:val="58"/>
                    </w:numPr>
                    <w:spacing w:after="0" w:line="240" w:lineRule="atLeast"/>
                    <w:ind w:right="-1"/>
                    <w:contextualSpacing/>
                    <w:rPr>
                      <w:rFonts w:ascii="Calibri" w:eastAsia="Times New Roman" w:hAnsi="Calibri" w:cs="Times New Roman"/>
                      <w:szCs w:val="24"/>
                      <w:lang w:val="en-GB"/>
                    </w:rPr>
                  </w:pPr>
                  <w:r w:rsidRPr="00147B8E">
                    <w:rPr>
                      <w:rFonts w:ascii="Calibri" w:eastAsia="Times New Roman" w:hAnsi="Calibri" w:cs="Times New Roman"/>
                      <w:szCs w:val="24"/>
                      <w:lang w:val="en-GB"/>
                    </w:rPr>
                    <w:t>Hourly rate plus 50% for additional hours in excess of the first eight (8) worked in the week (Monday – Sunday). The hourly rate is calculated as the daily rate for the resource divided by eight (8).</w:t>
                  </w:r>
                </w:p>
                <w:p w14:paraId="7FD38E3A" w14:textId="77777777" w:rsidR="00147B8E" w:rsidRPr="00147B8E" w:rsidRDefault="00147B8E" w:rsidP="00147B8E">
                  <w:pPr>
                    <w:spacing w:after="0" w:line="240" w:lineRule="atLeast"/>
                    <w:ind w:left="720" w:right="-1"/>
                    <w:contextualSpacing/>
                    <w:rPr>
                      <w:rFonts w:ascii="Calibri" w:eastAsia="Times New Roman" w:hAnsi="Calibri" w:cs="Times New Roman"/>
                      <w:szCs w:val="24"/>
                      <w:lang w:val="en-GB"/>
                    </w:rPr>
                  </w:pPr>
                </w:p>
                <w:p w14:paraId="72043F67"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r w:rsidRPr="00147B8E">
                    <w:rPr>
                      <w:rFonts w:ascii="Calibri" w:eastAsia="Times New Roman" w:hAnsi="Calibri" w:cs="Times New Roman"/>
                      <w:b/>
                      <w:bCs/>
                      <w:szCs w:val="24"/>
                      <w:u w:val="single"/>
                      <w:lang w:val="en-GB"/>
                    </w:rPr>
                    <w:t xml:space="preserve">Travel </w:t>
                  </w:r>
                </w:p>
                <w:p w14:paraId="28015339"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 xml:space="preserve">It is not envisaged that external resources will be expected to travel as part of the normal duties and any travel that is undertaken must be sanctioned in advance by the IMT Project Manager. In such cases the external resources will be reimbursed at the Civil Service rate if the Resources private vehicle is used or the validated cost of public transport where suitable. </w:t>
                  </w:r>
                </w:p>
                <w:p w14:paraId="55E26E79"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The cost of any additional insurance premium required to use a private vehicle will be borne by the Resource or the Tenderer and the Contracting Authority will not be liable for such costs or any claim arising from the use of the vehicle.</w:t>
                  </w:r>
                </w:p>
                <w:p w14:paraId="6AB4FDB5"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p>
                <w:p w14:paraId="3C75FC38"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r w:rsidRPr="00147B8E">
                    <w:rPr>
                      <w:rFonts w:ascii="Calibri" w:eastAsia="Times New Roman" w:hAnsi="Calibri" w:cs="Times New Roman"/>
                      <w:b/>
                      <w:bCs/>
                      <w:szCs w:val="24"/>
                      <w:u w:val="single"/>
                      <w:lang w:val="en-GB"/>
                    </w:rPr>
                    <w:t>Invoicing Arrangements</w:t>
                  </w:r>
                </w:p>
                <w:p w14:paraId="1559C6AA"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Invoicing arrangements will be agreed with the successful Tenderer(s) and all payments will be subject to the provisions of the Prompt Payments of Account Act 1997, as amended or revised, and the European Communities (Late Payment in Commercial Transactions) Regulations, 2002.</w:t>
                  </w:r>
                </w:p>
                <w:p w14:paraId="302724D3"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p>
                <w:p w14:paraId="68BC8DEA"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bookmarkStart w:id="2" w:name="_Hlk219189835"/>
                  <w:r w:rsidRPr="00147B8E">
                    <w:rPr>
                      <w:rFonts w:ascii="Calibri" w:eastAsia="Times New Roman" w:hAnsi="Calibri" w:cs="Times New Roman"/>
                      <w:b/>
                      <w:bCs/>
                      <w:szCs w:val="24"/>
                      <w:u w:val="single"/>
                      <w:lang w:val="en-GB"/>
                    </w:rPr>
                    <w:t>Estimated Number of Days per Resource per year</w:t>
                  </w:r>
                </w:p>
                <w:p w14:paraId="249D2CFD"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Two hundred and fifty (250) days per year for each Core Personnel Resource. The Contracting Authority will use the two hundred and fifty days per annum as basis for the calculation of the Contract costs for the team personnel. This is an indicative number only and is not a guaranteed number of days that each Resource will receive per year.</w:t>
                  </w:r>
                </w:p>
                <w:p w14:paraId="3CD3BDBA" w14:textId="0E2A4784"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For clarity, 250 days per annum refers to the maximum number of days to be drawn down for the role. It is accepted that the ind</w:t>
                  </w:r>
                  <w:r w:rsidR="0064451C">
                    <w:rPr>
                      <w:rFonts w:ascii="Calibri" w:eastAsia="Times New Roman" w:hAnsi="Calibri" w:cs="Times New Roman"/>
                      <w:szCs w:val="24"/>
                      <w:lang w:val="en-GB"/>
                    </w:rPr>
                    <w:t>i</w:t>
                  </w:r>
                  <w:r w:rsidRPr="00147B8E">
                    <w:rPr>
                      <w:rFonts w:ascii="Calibri" w:eastAsia="Times New Roman" w:hAnsi="Calibri" w:cs="Times New Roman"/>
                      <w:szCs w:val="24"/>
                      <w:lang w:val="en-GB"/>
                    </w:rPr>
                    <w:t>vi</w:t>
                  </w:r>
                  <w:r w:rsidR="0064451C">
                    <w:rPr>
                      <w:rFonts w:ascii="Calibri" w:eastAsia="Times New Roman" w:hAnsi="Calibri" w:cs="Times New Roman"/>
                      <w:szCs w:val="24"/>
                      <w:lang w:val="en-GB"/>
                    </w:rPr>
                    <w:t>du</w:t>
                  </w:r>
                  <w:r w:rsidRPr="00147B8E">
                    <w:rPr>
                      <w:rFonts w:ascii="Calibri" w:eastAsia="Times New Roman" w:hAnsi="Calibri" w:cs="Times New Roman"/>
                      <w:szCs w:val="24"/>
                      <w:lang w:val="en-GB"/>
                    </w:rPr>
                    <w:t>al fulfilling the role may require to take leave over the year. The contractor may be required to provide cover for the role while the individual takes leave.</w:t>
                  </w:r>
                </w:p>
                <w:p w14:paraId="22225DEA" w14:textId="77777777"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t>Likewise, the number of days specified for each of the Roles identified for the Additional Work / Resource Days is an indicative number only and is not a guaranteed number of days that each Resource or Resource Classification will receive.</w:t>
                  </w:r>
                </w:p>
                <w:bookmarkEnd w:id="2"/>
                <w:p w14:paraId="1B79AF94" w14:textId="77777777" w:rsidR="00147B8E" w:rsidRPr="00147B8E" w:rsidRDefault="00147B8E" w:rsidP="00147B8E">
                  <w:pPr>
                    <w:spacing w:line="240" w:lineRule="atLeast"/>
                    <w:ind w:right="-1"/>
                    <w:rPr>
                      <w:rFonts w:ascii="Calibri" w:eastAsia="Times New Roman" w:hAnsi="Calibri" w:cs="Times New Roman"/>
                      <w:szCs w:val="24"/>
                      <w:lang w:val="en-GB"/>
                    </w:rPr>
                  </w:pPr>
                </w:p>
                <w:p w14:paraId="265184E1"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r w:rsidRPr="00147B8E">
                    <w:rPr>
                      <w:rFonts w:ascii="Calibri" w:eastAsia="Times New Roman" w:hAnsi="Calibri" w:cs="Times New Roman"/>
                      <w:b/>
                      <w:bCs/>
                      <w:szCs w:val="24"/>
                      <w:u w:val="single"/>
                      <w:lang w:val="en-GB"/>
                    </w:rPr>
                    <w:t>Costs Determination</w:t>
                  </w:r>
                </w:p>
                <w:p w14:paraId="2063637D" w14:textId="36E5D9AC" w:rsidR="00147B8E" w:rsidRPr="00147B8E" w:rsidRDefault="00147B8E" w:rsidP="00147B8E">
                  <w:pPr>
                    <w:spacing w:line="240" w:lineRule="atLeast"/>
                    <w:ind w:right="-1"/>
                    <w:rPr>
                      <w:rFonts w:ascii="Calibri" w:eastAsia="Times New Roman" w:hAnsi="Calibri" w:cs="Times New Roman"/>
                      <w:szCs w:val="24"/>
                      <w:lang w:val="en-GB"/>
                    </w:rPr>
                  </w:pPr>
                  <w:r w:rsidRPr="00147B8E">
                    <w:rPr>
                      <w:rFonts w:ascii="Calibri" w:eastAsia="Times New Roman" w:hAnsi="Calibri" w:cs="Times New Roman"/>
                      <w:szCs w:val="24"/>
                      <w:lang w:val="en-GB"/>
                    </w:rPr>
                    <w:lastRenderedPageBreak/>
                    <w:t xml:space="preserve">The Tenderer’s price will be calculated as the cumulative cost of the Total Annual Cost of Service entered in </w:t>
                  </w:r>
                  <w:r w:rsidR="0064451C">
                    <w:rPr>
                      <w:rFonts w:ascii="Calibri" w:eastAsia="Times New Roman" w:hAnsi="Calibri" w:cs="Times New Roman"/>
                      <w:szCs w:val="24"/>
                      <w:lang w:val="en-GB"/>
                    </w:rPr>
                    <w:t>Pricing Table 6</w:t>
                  </w:r>
                  <w:r w:rsidRPr="00147B8E">
                    <w:rPr>
                      <w:rFonts w:ascii="Calibri" w:eastAsia="Times New Roman" w:hAnsi="Calibri" w:cs="Times New Roman"/>
                      <w:szCs w:val="24"/>
                      <w:lang w:val="en-GB"/>
                    </w:rPr>
                    <w:t xml:space="preserve"> of th</w:t>
                  </w:r>
                  <w:r w:rsidR="0064451C">
                    <w:rPr>
                      <w:rFonts w:ascii="Calibri" w:eastAsia="Times New Roman" w:hAnsi="Calibri" w:cs="Times New Roman"/>
                      <w:szCs w:val="24"/>
                      <w:lang w:val="en-GB"/>
                    </w:rPr>
                    <w:t>is</w:t>
                  </w:r>
                  <w:r w:rsidRPr="00147B8E">
                    <w:rPr>
                      <w:rFonts w:ascii="Calibri" w:eastAsia="Times New Roman" w:hAnsi="Calibri" w:cs="Times New Roman"/>
                      <w:szCs w:val="24"/>
                      <w:lang w:val="en-GB"/>
                    </w:rPr>
                    <w:t xml:space="preserve"> tender response document.</w:t>
                  </w:r>
                </w:p>
                <w:p w14:paraId="1FEC6B48" w14:textId="77777777" w:rsidR="00147B8E" w:rsidRPr="00147B8E" w:rsidRDefault="00147B8E" w:rsidP="00147B8E">
                  <w:pPr>
                    <w:spacing w:line="240" w:lineRule="atLeast"/>
                    <w:ind w:right="-1"/>
                    <w:rPr>
                      <w:rFonts w:ascii="Calibri" w:eastAsia="Times New Roman" w:hAnsi="Calibri" w:cs="Times New Roman"/>
                      <w:b/>
                      <w:bCs/>
                      <w:szCs w:val="24"/>
                      <w:u w:val="single"/>
                      <w:lang w:val="en-GB"/>
                    </w:rPr>
                  </w:pPr>
                </w:p>
                <w:p w14:paraId="7EA22B16" w14:textId="649D0DC0" w:rsidR="00591F05" w:rsidRPr="00591F05" w:rsidRDefault="00591F05" w:rsidP="00591F05">
                  <w:pPr>
                    <w:rPr>
                      <w:rFonts w:cs="Calibri"/>
                      <w:i/>
                    </w:rPr>
                  </w:pPr>
                </w:p>
              </w:tc>
            </w:tr>
            <w:tr w:rsidR="00FC03E2" w:rsidRPr="00591F05" w14:paraId="2E85D7CA" w14:textId="77777777" w:rsidTr="00147B8E">
              <w:trPr>
                <w:trHeight w:val="104"/>
              </w:trPr>
              <w:tc>
                <w:tcPr>
                  <w:tcW w:w="10074" w:type="dxa"/>
                </w:tcPr>
                <w:p w14:paraId="48BDA593" w14:textId="77777777" w:rsidR="00FC03E2" w:rsidRDefault="00FC03E2" w:rsidP="00FC03E2">
                  <w:pPr>
                    <w:spacing w:after="0"/>
                    <w:ind w:firstLine="0"/>
                    <w:rPr>
                      <w:rFonts w:eastAsia="Calibri" w:cs="Calibri"/>
                      <w:b/>
                      <w:bCs/>
                      <w:color w:val="FFFFFF" w:themeColor="background1"/>
                      <w:sz w:val="28"/>
                      <w:szCs w:val="28"/>
                    </w:rPr>
                  </w:pPr>
                </w:p>
              </w:tc>
            </w:tr>
          </w:tbl>
          <w:p w14:paraId="15BFA155" w14:textId="77777777" w:rsidR="00591F05" w:rsidRPr="00591F05" w:rsidRDefault="00591F05" w:rsidP="00591F05">
            <w:pPr>
              <w:rPr>
                <w:rFonts w:eastAsia="Calibri"/>
                <w:color w:val="235D64"/>
              </w:rPr>
            </w:pPr>
          </w:p>
        </w:tc>
      </w:tr>
      <w:bookmarkEnd w:id="1"/>
    </w:tbl>
    <w:p w14:paraId="29870F20" w14:textId="77777777" w:rsidR="00632543" w:rsidRDefault="00632543" w:rsidP="0086040B"/>
    <w:p w14:paraId="0C945369" w14:textId="77777777" w:rsidR="00632543" w:rsidRDefault="00632543" w:rsidP="0086040B"/>
    <w:p w14:paraId="7D8D581F" w14:textId="1FD5EC13" w:rsidR="009B5BE2" w:rsidRDefault="009B5BE2" w:rsidP="009B5BE2">
      <w:pPr>
        <w:pStyle w:val="Heading1"/>
      </w:pPr>
      <w:r>
        <w:t>Section 2 – Price Review Mecha</w:t>
      </w:r>
      <w:r w:rsidR="00B161DE">
        <w:t>n</w:t>
      </w:r>
      <w:r>
        <w:t>ism</w:t>
      </w:r>
    </w:p>
    <w:p w14:paraId="1360A457" w14:textId="77777777" w:rsidR="009B5BE2" w:rsidRDefault="009B5BE2" w:rsidP="0086040B"/>
    <w:p w14:paraId="5EE30230" w14:textId="77777777" w:rsidR="00B161DE" w:rsidRPr="00B161DE" w:rsidRDefault="00B161DE" w:rsidP="00B161DE">
      <w:pPr>
        <w:spacing w:before="11" w:after="0" w:line="312" w:lineRule="auto"/>
        <w:ind w:right="78"/>
        <w:jc w:val="both"/>
        <w:rPr>
          <w:rFonts w:ascii="Calibri" w:eastAsia="Calibri" w:hAnsi="Calibri" w:cs="Calibri"/>
          <w:b/>
          <w:color w:val="235D64"/>
        </w:rPr>
      </w:pPr>
      <w:r w:rsidRPr="00B161DE">
        <w:rPr>
          <w:rFonts w:ascii="Calibri" w:eastAsia="Calibri" w:hAnsi="Calibri" w:cs="Calibri"/>
          <w:b/>
          <w:color w:val="235D64"/>
          <w:sz w:val="24"/>
          <w:szCs w:val="24"/>
          <w:lang w:val="en-GB"/>
        </w:rPr>
        <w:t xml:space="preserve">PRICE REVIEW </w:t>
      </w:r>
    </w:p>
    <w:p w14:paraId="45D7D277" w14:textId="77777777" w:rsidR="00B161DE" w:rsidRPr="00B161DE" w:rsidRDefault="00B161DE" w:rsidP="00B161DE">
      <w:pPr>
        <w:tabs>
          <w:tab w:val="left" w:pos="360"/>
        </w:tabs>
        <w:spacing w:line="276" w:lineRule="auto"/>
        <w:ind w:left="284"/>
        <w:contextualSpacing/>
        <w:rPr>
          <w:rFonts w:ascii="Calibri" w:eastAsia="Times New Roman" w:hAnsi="Calibri" w:cs="Times New Roman"/>
          <w:szCs w:val="24"/>
          <w:lang w:val="en-GB"/>
        </w:rPr>
      </w:pPr>
      <w:r w:rsidRPr="00B161DE">
        <w:rPr>
          <w:rFonts w:ascii="Calibri" w:eastAsia="Times New Roman" w:hAnsi="Calibri" w:cs="Times New Roman"/>
          <w:szCs w:val="24"/>
          <w:lang w:val="en-GB"/>
        </w:rPr>
        <w:t>In the event that the proposed contract is extended beyond the first 2 years, the prices quoted in the Pricing Schedule, as accepted by the Contracting Authority, will be subject to review (“Price Review”). Such Price Review will be at the sole discretion of the Contracting Authority and only if all of the below conditions have been satisfied:</w:t>
      </w:r>
    </w:p>
    <w:p w14:paraId="03B1EFB5" w14:textId="77777777" w:rsidR="00B161DE" w:rsidRPr="00B161DE" w:rsidRDefault="00B161DE" w:rsidP="00B161DE">
      <w:pPr>
        <w:numPr>
          <w:ilvl w:val="0"/>
          <w:numId w:val="57"/>
        </w:numPr>
        <w:tabs>
          <w:tab w:val="left" w:pos="360"/>
        </w:tabs>
        <w:spacing w:after="160" w:line="276" w:lineRule="auto"/>
        <w:contextualSpacing/>
        <w:rPr>
          <w:rFonts w:ascii="Calibri" w:eastAsia="Times New Roman" w:hAnsi="Calibri" w:cs="Times New Roman"/>
          <w:szCs w:val="24"/>
          <w:lang w:val="en-GB"/>
        </w:rPr>
      </w:pPr>
      <w:r w:rsidRPr="00B161DE">
        <w:rPr>
          <w:rFonts w:ascii="Calibri" w:eastAsia="Times New Roman" w:hAnsi="Calibri" w:cs="Times New Roman"/>
          <w:szCs w:val="24"/>
          <w:lang w:val="en-GB"/>
        </w:rPr>
        <w:t>applications for price review are received by the Contracting Authority not later than 3 months prior to the expiry of the initial proposed contract of 2 years;</w:t>
      </w:r>
    </w:p>
    <w:p w14:paraId="5C45A960" w14:textId="77777777" w:rsidR="00B161DE" w:rsidRPr="00B161DE" w:rsidRDefault="00B161DE" w:rsidP="00B161DE">
      <w:pPr>
        <w:numPr>
          <w:ilvl w:val="0"/>
          <w:numId w:val="57"/>
        </w:numPr>
        <w:tabs>
          <w:tab w:val="left" w:pos="360"/>
        </w:tabs>
        <w:spacing w:after="160" w:line="276" w:lineRule="auto"/>
        <w:contextualSpacing/>
        <w:rPr>
          <w:rFonts w:ascii="Calibri" w:eastAsia="Times New Roman" w:hAnsi="Calibri" w:cs="Times New Roman"/>
          <w:szCs w:val="24"/>
          <w:lang w:val="en-GB"/>
        </w:rPr>
      </w:pPr>
      <w:r w:rsidRPr="00B161DE">
        <w:rPr>
          <w:rFonts w:ascii="Calibri" w:eastAsia="Times New Roman" w:hAnsi="Calibri" w:cs="Times New Roman"/>
          <w:szCs w:val="24"/>
          <w:lang w:val="en-GB"/>
        </w:rPr>
        <w:t>price review application clearly sets out under which headings the prices are to be revised (equipment/labour) and provide vouched evidence in support of this request.  Such evidence must demonstrate to the satisfaction of the Contracting Authority that the reasons for the price review are outside the Supplier’s control;</w:t>
      </w:r>
    </w:p>
    <w:p w14:paraId="5349E33B" w14:textId="5CC3B465" w:rsidR="00632543" w:rsidRPr="00147B8E" w:rsidRDefault="00B161DE" w:rsidP="0086040B">
      <w:pPr>
        <w:numPr>
          <w:ilvl w:val="0"/>
          <w:numId w:val="57"/>
        </w:numPr>
        <w:tabs>
          <w:tab w:val="left" w:pos="360"/>
        </w:tabs>
        <w:spacing w:after="160" w:line="276" w:lineRule="auto"/>
        <w:contextualSpacing/>
        <w:rPr>
          <w:rFonts w:ascii="Calibri" w:eastAsia="Times New Roman" w:hAnsi="Calibri" w:cs="Times New Roman"/>
          <w:szCs w:val="24"/>
          <w:lang w:val="en-GB"/>
        </w:rPr>
      </w:pPr>
      <w:r w:rsidRPr="00B161DE">
        <w:rPr>
          <w:rFonts w:ascii="Calibri" w:eastAsia="Times New Roman" w:hAnsi="Calibri" w:cs="Times New Roman"/>
          <w:szCs w:val="24"/>
          <w:lang w:val="en-GB"/>
        </w:rPr>
        <w:t xml:space="preserve">In the event that the Price Review Request has not been received by the commencement of the extension of the term of the proposed contract, if any, the prices submitted in the original Tender response (“the Submission”) shall continue to apply.  </w:t>
      </w:r>
    </w:p>
    <w:sectPr w:rsidR="00632543" w:rsidRPr="00147B8E" w:rsidSect="004F6A2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A554" w14:textId="77777777" w:rsidR="00D22619" w:rsidRDefault="00D22619" w:rsidP="004F6A21">
      <w:pPr>
        <w:spacing w:after="0" w:line="240" w:lineRule="auto"/>
      </w:pPr>
      <w:r>
        <w:separator/>
      </w:r>
    </w:p>
  </w:endnote>
  <w:endnote w:type="continuationSeparator" w:id="0">
    <w:p w14:paraId="2B045261" w14:textId="77777777" w:rsidR="00D22619" w:rsidRDefault="00D22619" w:rsidP="004F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AF53" w14:textId="5887EA48" w:rsidR="00064F41" w:rsidRDefault="00064F41" w:rsidP="004F6A21">
    <w:pPr>
      <w:pStyle w:val="Header"/>
      <w:spacing w:before="120"/>
      <w:jc w:val="center"/>
      <w:rPr>
        <w:rFonts w:cstheme="minorHAnsi"/>
        <w:b/>
        <w:sz w:val="28"/>
        <w:szCs w:val="28"/>
      </w:rPr>
    </w:pPr>
  </w:p>
  <w:p w14:paraId="2C6AD49A" w14:textId="77777777" w:rsidR="00064F41" w:rsidRDefault="00064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16D" w14:textId="77777777" w:rsidR="00064F41" w:rsidRPr="00220CA0" w:rsidRDefault="00064F41" w:rsidP="0022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B05C" w14:textId="77777777" w:rsidR="00D22619" w:rsidRDefault="00D22619" w:rsidP="004F6A21">
      <w:pPr>
        <w:spacing w:after="0" w:line="240" w:lineRule="auto"/>
      </w:pPr>
      <w:r>
        <w:separator/>
      </w:r>
    </w:p>
  </w:footnote>
  <w:footnote w:type="continuationSeparator" w:id="0">
    <w:p w14:paraId="60C7621B" w14:textId="77777777" w:rsidR="00D22619" w:rsidRDefault="00D22619" w:rsidP="004F6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0F37" w14:textId="2DDDFBCD" w:rsidR="00064F41" w:rsidRDefault="00064F41">
    <w:pPr>
      <w:pStyle w:val="Header"/>
    </w:pPr>
    <w:r w:rsidRPr="00BB4C40">
      <w:rPr>
        <w:rFonts w:ascii="Arial" w:eastAsia="Arial" w:hAnsi="Arial" w:cs="Times New Roman"/>
        <w:noProof/>
        <w:sz w:val="21"/>
        <w:szCs w:val="24"/>
        <w:lang w:eastAsia="en-IE"/>
      </w:rPr>
      <w:drawing>
        <wp:anchor distT="0" distB="0" distL="114300" distR="114300" simplePos="0" relativeHeight="251659264" behindDoc="1" locked="1" layoutInCell="1" allowOverlap="0" wp14:anchorId="3811BA58" wp14:editId="3848E0CF">
          <wp:simplePos x="0" y="0"/>
          <wp:positionH relativeFrom="page">
            <wp:align>left</wp:align>
          </wp:positionH>
          <wp:positionV relativeFrom="page">
            <wp:posOffset>19050</wp:posOffset>
          </wp:positionV>
          <wp:extent cx="7559675" cy="1238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culture_Dept_Letterhead_Head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238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69C3" w14:textId="77777777" w:rsidR="00064F41" w:rsidRDefault="0006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FAA"/>
    <w:multiLevelType w:val="hybridMultilevel"/>
    <w:tmpl w:val="212021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720B49"/>
    <w:multiLevelType w:val="hybridMultilevel"/>
    <w:tmpl w:val="E5AA5D68"/>
    <w:lvl w:ilvl="0" w:tplc="4B24F372">
      <w:start w:val="7"/>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37018"/>
    <w:multiLevelType w:val="hybridMultilevel"/>
    <w:tmpl w:val="308A80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F75187"/>
    <w:multiLevelType w:val="hybridMultilevel"/>
    <w:tmpl w:val="BBCAA6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D9D001E"/>
    <w:multiLevelType w:val="hybridMultilevel"/>
    <w:tmpl w:val="C20A6CB4"/>
    <w:lvl w:ilvl="0" w:tplc="F6ACE94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1D36FA4"/>
    <w:multiLevelType w:val="hybridMultilevel"/>
    <w:tmpl w:val="D8F4A4E8"/>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655772"/>
    <w:multiLevelType w:val="hybridMultilevel"/>
    <w:tmpl w:val="E0A01C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76649FB"/>
    <w:multiLevelType w:val="hybridMultilevel"/>
    <w:tmpl w:val="4C3628D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3" w15:restartNumberingAfterBreak="0">
    <w:nsid w:val="1A3A4686"/>
    <w:multiLevelType w:val="hybridMultilevel"/>
    <w:tmpl w:val="444684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CB199C"/>
    <w:multiLevelType w:val="hybridMultilevel"/>
    <w:tmpl w:val="2904EEB0"/>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3E25DB"/>
    <w:multiLevelType w:val="hybridMultilevel"/>
    <w:tmpl w:val="2A00B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C090BBF"/>
    <w:multiLevelType w:val="hybridMultilevel"/>
    <w:tmpl w:val="C726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990EE1"/>
    <w:multiLevelType w:val="hybridMultilevel"/>
    <w:tmpl w:val="FE2EB7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8F5735"/>
    <w:multiLevelType w:val="hybridMultilevel"/>
    <w:tmpl w:val="2058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81A03"/>
    <w:multiLevelType w:val="hybridMultilevel"/>
    <w:tmpl w:val="3E9EA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0354D5"/>
    <w:multiLevelType w:val="hybridMultilevel"/>
    <w:tmpl w:val="5C70B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C624E00"/>
    <w:multiLevelType w:val="hybridMultilevel"/>
    <w:tmpl w:val="2EEEB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CC089D"/>
    <w:multiLevelType w:val="hybridMultilevel"/>
    <w:tmpl w:val="9D8453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B650FC"/>
    <w:multiLevelType w:val="hybridMultilevel"/>
    <w:tmpl w:val="96ACF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2CE2774"/>
    <w:multiLevelType w:val="hybridMultilevel"/>
    <w:tmpl w:val="710A06F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0"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9772958"/>
    <w:multiLevelType w:val="hybridMultilevel"/>
    <w:tmpl w:val="21FAD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6B85A37"/>
    <w:multiLevelType w:val="hybridMultilevel"/>
    <w:tmpl w:val="BB6E0DB4"/>
    <w:lvl w:ilvl="0" w:tplc="00F2C67C">
      <w:start w:val="1"/>
      <w:numFmt w:val="decimal"/>
      <w:lvlText w:val="(A)"/>
      <w:lvlJc w:val="left"/>
      <w:pPr>
        <w:ind w:left="720" w:hanging="360"/>
      </w:pPr>
    </w:lvl>
    <w:lvl w:ilvl="1" w:tplc="1B225656">
      <w:start w:val="1"/>
      <w:numFmt w:val="lowerLetter"/>
      <w:lvlText w:val="%2."/>
      <w:lvlJc w:val="left"/>
      <w:pPr>
        <w:ind w:left="1440" w:hanging="360"/>
      </w:pPr>
    </w:lvl>
    <w:lvl w:ilvl="2" w:tplc="79761CFA">
      <w:start w:val="1"/>
      <w:numFmt w:val="lowerRoman"/>
      <w:lvlText w:val="%3."/>
      <w:lvlJc w:val="right"/>
      <w:pPr>
        <w:ind w:left="2160" w:hanging="180"/>
      </w:pPr>
    </w:lvl>
    <w:lvl w:ilvl="3" w:tplc="F09E5DC2">
      <w:start w:val="1"/>
      <w:numFmt w:val="decimal"/>
      <w:lvlText w:val="%4."/>
      <w:lvlJc w:val="left"/>
      <w:pPr>
        <w:ind w:left="2880" w:hanging="360"/>
      </w:pPr>
    </w:lvl>
    <w:lvl w:ilvl="4" w:tplc="2E3C2DA2">
      <w:start w:val="1"/>
      <w:numFmt w:val="lowerLetter"/>
      <w:lvlText w:val="%5."/>
      <w:lvlJc w:val="left"/>
      <w:pPr>
        <w:ind w:left="3600" w:hanging="360"/>
      </w:pPr>
    </w:lvl>
    <w:lvl w:ilvl="5" w:tplc="2D465120">
      <w:start w:val="1"/>
      <w:numFmt w:val="lowerRoman"/>
      <w:lvlText w:val="%6."/>
      <w:lvlJc w:val="right"/>
      <w:pPr>
        <w:ind w:left="4320" w:hanging="180"/>
      </w:pPr>
    </w:lvl>
    <w:lvl w:ilvl="6" w:tplc="8B1E892C">
      <w:start w:val="1"/>
      <w:numFmt w:val="decimal"/>
      <w:lvlText w:val="%7."/>
      <w:lvlJc w:val="left"/>
      <w:pPr>
        <w:ind w:left="5040" w:hanging="360"/>
      </w:pPr>
    </w:lvl>
    <w:lvl w:ilvl="7" w:tplc="DA6AB0D0">
      <w:start w:val="1"/>
      <w:numFmt w:val="lowerLetter"/>
      <w:lvlText w:val="%8."/>
      <w:lvlJc w:val="left"/>
      <w:pPr>
        <w:ind w:left="5760" w:hanging="360"/>
      </w:pPr>
    </w:lvl>
    <w:lvl w:ilvl="8" w:tplc="AFC0D3F0">
      <w:start w:val="1"/>
      <w:numFmt w:val="lowerRoman"/>
      <w:lvlText w:val="%9."/>
      <w:lvlJc w:val="right"/>
      <w:pPr>
        <w:ind w:left="6480" w:hanging="180"/>
      </w:pPr>
    </w:lvl>
  </w:abstractNum>
  <w:abstractNum w:abstractNumId="40" w15:restartNumberingAfterBreak="0">
    <w:nsid w:val="59862DAF"/>
    <w:multiLevelType w:val="hybridMultilevel"/>
    <w:tmpl w:val="BF8A87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D1C5536"/>
    <w:multiLevelType w:val="hybridMultilevel"/>
    <w:tmpl w:val="822C4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A476E5"/>
    <w:multiLevelType w:val="hybridMultilevel"/>
    <w:tmpl w:val="C0EC94EC"/>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D90533"/>
    <w:multiLevelType w:val="hybridMultilevel"/>
    <w:tmpl w:val="482658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F9049D"/>
    <w:multiLevelType w:val="hybridMultilevel"/>
    <w:tmpl w:val="0DBC4F1C"/>
    <w:lvl w:ilvl="0" w:tplc="0B38B602">
      <w:start w:val="2"/>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FBB2FEB"/>
    <w:multiLevelType w:val="hybridMultilevel"/>
    <w:tmpl w:val="1130B7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9" w15:restartNumberingAfterBreak="0">
    <w:nsid w:val="706A5EC5"/>
    <w:multiLevelType w:val="hybridMultilevel"/>
    <w:tmpl w:val="72C0CB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13D0C28"/>
    <w:multiLevelType w:val="hybridMultilevel"/>
    <w:tmpl w:val="DAB28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762425F7"/>
    <w:multiLevelType w:val="hybridMultilevel"/>
    <w:tmpl w:val="D9B0E9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649273E"/>
    <w:multiLevelType w:val="hybridMultilevel"/>
    <w:tmpl w:val="96ACF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73986"/>
    <w:multiLevelType w:val="hybridMultilevel"/>
    <w:tmpl w:val="7EECBCA0"/>
    <w:lvl w:ilvl="0" w:tplc="1CC29876">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A1F4BD7"/>
    <w:multiLevelType w:val="hybridMultilevel"/>
    <w:tmpl w:val="9712F7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543710972">
    <w:abstractNumId w:val="45"/>
  </w:num>
  <w:num w:numId="2" w16cid:durableId="1654138112">
    <w:abstractNumId w:val="7"/>
  </w:num>
  <w:num w:numId="3" w16cid:durableId="1270970962">
    <w:abstractNumId w:val="1"/>
  </w:num>
  <w:num w:numId="4" w16cid:durableId="1086611742">
    <w:abstractNumId w:val="55"/>
  </w:num>
  <w:num w:numId="5" w16cid:durableId="1026784675">
    <w:abstractNumId w:val="57"/>
  </w:num>
  <w:num w:numId="6" w16cid:durableId="1936816136">
    <w:abstractNumId w:val="44"/>
  </w:num>
  <w:num w:numId="7" w16cid:durableId="160849524">
    <w:abstractNumId w:val="14"/>
  </w:num>
  <w:num w:numId="8" w16cid:durableId="1669937703">
    <w:abstractNumId w:val="52"/>
  </w:num>
  <w:num w:numId="9" w16cid:durableId="1780291676">
    <w:abstractNumId w:val="34"/>
  </w:num>
  <w:num w:numId="10" w16cid:durableId="1433934038">
    <w:abstractNumId w:val="47"/>
  </w:num>
  <w:num w:numId="11" w16cid:durableId="1128931646">
    <w:abstractNumId w:val="36"/>
  </w:num>
  <w:num w:numId="12" w16cid:durableId="1017389695">
    <w:abstractNumId w:val="28"/>
  </w:num>
  <w:num w:numId="13" w16cid:durableId="1697190358">
    <w:abstractNumId w:val="17"/>
  </w:num>
  <w:num w:numId="14" w16cid:durableId="480729659">
    <w:abstractNumId w:val="30"/>
  </w:num>
  <w:num w:numId="15" w16cid:durableId="1822115211">
    <w:abstractNumId w:val="2"/>
  </w:num>
  <w:num w:numId="16" w16cid:durableId="1286155105">
    <w:abstractNumId w:val="25"/>
  </w:num>
  <w:num w:numId="17" w16cid:durableId="709956967">
    <w:abstractNumId w:val="35"/>
  </w:num>
  <w:num w:numId="18" w16cid:durableId="1563180501">
    <w:abstractNumId w:val="46"/>
  </w:num>
  <w:num w:numId="19" w16cid:durableId="2106995076">
    <w:abstractNumId w:val="38"/>
  </w:num>
  <w:num w:numId="20" w16cid:durableId="163136134">
    <w:abstractNumId w:val="50"/>
  </w:num>
  <w:num w:numId="21" w16cid:durableId="960961310">
    <w:abstractNumId w:val="8"/>
  </w:num>
  <w:num w:numId="22" w16cid:durableId="316615531">
    <w:abstractNumId w:val="37"/>
  </w:num>
  <w:num w:numId="23" w16cid:durableId="886645998">
    <w:abstractNumId w:val="31"/>
  </w:num>
  <w:num w:numId="24" w16cid:durableId="810638820">
    <w:abstractNumId w:val="11"/>
  </w:num>
  <w:num w:numId="25" w16cid:durableId="815222131">
    <w:abstractNumId w:val="27"/>
  </w:num>
  <w:num w:numId="26" w16cid:durableId="1537235216">
    <w:abstractNumId w:val="4"/>
  </w:num>
  <w:num w:numId="27" w16cid:durableId="1479566522">
    <w:abstractNumId w:val="33"/>
  </w:num>
  <w:num w:numId="28" w16cid:durableId="1445543136">
    <w:abstractNumId w:val="5"/>
  </w:num>
  <w:num w:numId="29" w16cid:durableId="1359162077">
    <w:abstractNumId w:val="12"/>
  </w:num>
  <w:num w:numId="30" w16cid:durableId="1871215383">
    <w:abstractNumId w:val="0"/>
  </w:num>
  <w:num w:numId="31" w16cid:durableId="555169700">
    <w:abstractNumId w:val="43"/>
  </w:num>
  <w:num w:numId="32" w16cid:durableId="1429623639">
    <w:abstractNumId w:val="39"/>
  </w:num>
  <w:num w:numId="33" w16cid:durableId="1991131098">
    <w:abstractNumId w:val="49"/>
  </w:num>
  <w:num w:numId="34" w16cid:durableId="672027379">
    <w:abstractNumId w:val="56"/>
  </w:num>
  <w:num w:numId="35" w16cid:durableId="1410301709">
    <w:abstractNumId w:val="20"/>
  </w:num>
  <w:num w:numId="36" w16cid:durableId="1614894979">
    <w:abstractNumId w:val="10"/>
  </w:num>
  <w:num w:numId="37" w16cid:durableId="268591226">
    <w:abstractNumId w:val="21"/>
  </w:num>
  <w:num w:numId="38" w16cid:durableId="808475614">
    <w:abstractNumId w:val="24"/>
  </w:num>
  <w:num w:numId="39" w16cid:durableId="1218780475">
    <w:abstractNumId w:val="18"/>
  </w:num>
  <w:num w:numId="40" w16cid:durableId="2043548686">
    <w:abstractNumId w:val="16"/>
  </w:num>
  <w:num w:numId="41" w16cid:durableId="600530311">
    <w:abstractNumId w:val="23"/>
  </w:num>
  <w:num w:numId="42" w16cid:durableId="1383017028">
    <w:abstractNumId w:val="19"/>
  </w:num>
  <w:num w:numId="43" w16cid:durableId="1274747487">
    <w:abstractNumId w:val="13"/>
  </w:num>
  <w:num w:numId="44" w16cid:durableId="1314795360">
    <w:abstractNumId w:val="41"/>
  </w:num>
  <w:num w:numId="45" w16cid:durableId="1628001600">
    <w:abstractNumId w:val="22"/>
  </w:num>
  <w:num w:numId="46" w16cid:durableId="1175068168">
    <w:abstractNumId w:val="32"/>
  </w:num>
  <w:num w:numId="47" w16cid:durableId="2166586">
    <w:abstractNumId w:val="53"/>
  </w:num>
  <w:num w:numId="48" w16cid:durableId="856043641">
    <w:abstractNumId w:val="54"/>
  </w:num>
  <w:num w:numId="49" w16cid:durableId="317001970">
    <w:abstractNumId w:val="26"/>
  </w:num>
  <w:num w:numId="50" w16cid:durableId="671568737">
    <w:abstractNumId w:val="9"/>
  </w:num>
  <w:num w:numId="51" w16cid:durableId="1996102840">
    <w:abstractNumId w:val="42"/>
  </w:num>
  <w:num w:numId="52" w16cid:durableId="1279416112">
    <w:abstractNumId w:val="3"/>
  </w:num>
  <w:num w:numId="53" w16cid:durableId="585461474">
    <w:abstractNumId w:val="15"/>
  </w:num>
  <w:num w:numId="54" w16cid:durableId="1455098907">
    <w:abstractNumId w:val="6"/>
  </w:num>
  <w:num w:numId="55" w16cid:durableId="1456871307">
    <w:abstractNumId w:val="48"/>
  </w:num>
  <w:num w:numId="56" w16cid:durableId="22294613">
    <w:abstractNumId w:val="40"/>
  </w:num>
  <w:num w:numId="57" w16cid:durableId="1593783902">
    <w:abstractNumId w:val="29"/>
  </w:num>
  <w:num w:numId="58" w16cid:durableId="1593389815">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21"/>
    <w:rsid w:val="00006F61"/>
    <w:rsid w:val="00013139"/>
    <w:rsid w:val="00026530"/>
    <w:rsid w:val="00033907"/>
    <w:rsid w:val="00042AEC"/>
    <w:rsid w:val="00047DA6"/>
    <w:rsid w:val="00051975"/>
    <w:rsid w:val="0006373B"/>
    <w:rsid w:val="00064F41"/>
    <w:rsid w:val="0006559B"/>
    <w:rsid w:val="00072080"/>
    <w:rsid w:val="00080EF7"/>
    <w:rsid w:val="00085554"/>
    <w:rsid w:val="000A3CD4"/>
    <w:rsid w:val="000D3234"/>
    <w:rsid w:val="000E7023"/>
    <w:rsid w:val="000F4659"/>
    <w:rsid w:val="001026E0"/>
    <w:rsid w:val="00102AE2"/>
    <w:rsid w:val="001036AA"/>
    <w:rsid w:val="00105501"/>
    <w:rsid w:val="0011279A"/>
    <w:rsid w:val="00112BB4"/>
    <w:rsid w:val="00121802"/>
    <w:rsid w:val="00136FD8"/>
    <w:rsid w:val="00141154"/>
    <w:rsid w:val="001423EE"/>
    <w:rsid w:val="00147B8E"/>
    <w:rsid w:val="0016089A"/>
    <w:rsid w:val="001637DD"/>
    <w:rsid w:val="001748CC"/>
    <w:rsid w:val="00191A87"/>
    <w:rsid w:val="001A2029"/>
    <w:rsid w:val="001C796F"/>
    <w:rsid w:val="001F17CD"/>
    <w:rsid w:val="001F5DD3"/>
    <w:rsid w:val="00210AB6"/>
    <w:rsid w:val="00212692"/>
    <w:rsid w:val="002131C3"/>
    <w:rsid w:val="00217D62"/>
    <w:rsid w:val="00220CA0"/>
    <w:rsid w:val="0022529D"/>
    <w:rsid w:val="0023078D"/>
    <w:rsid w:val="00231F65"/>
    <w:rsid w:val="002322CD"/>
    <w:rsid w:val="002479F9"/>
    <w:rsid w:val="00253800"/>
    <w:rsid w:val="0025650C"/>
    <w:rsid w:val="0027224E"/>
    <w:rsid w:val="002740AD"/>
    <w:rsid w:val="0028125F"/>
    <w:rsid w:val="0029196F"/>
    <w:rsid w:val="00297B61"/>
    <w:rsid w:val="002A1554"/>
    <w:rsid w:val="002C3228"/>
    <w:rsid w:val="002C4C25"/>
    <w:rsid w:val="002C74FD"/>
    <w:rsid w:val="002C7EBD"/>
    <w:rsid w:val="002D6300"/>
    <w:rsid w:val="002E3627"/>
    <w:rsid w:val="002E6CD7"/>
    <w:rsid w:val="002F18A2"/>
    <w:rsid w:val="00306504"/>
    <w:rsid w:val="00310073"/>
    <w:rsid w:val="003128F8"/>
    <w:rsid w:val="003171CD"/>
    <w:rsid w:val="0034509B"/>
    <w:rsid w:val="00365EBC"/>
    <w:rsid w:val="00380222"/>
    <w:rsid w:val="00385514"/>
    <w:rsid w:val="003904A1"/>
    <w:rsid w:val="00391D03"/>
    <w:rsid w:val="00396066"/>
    <w:rsid w:val="003B1359"/>
    <w:rsid w:val="003B1964"/>
    <w:rsid w:val="003B2B10"/>
    <w:rsid w:val="003C19B1"/>
    <w:rsid w:val="003C6B9E"/>
    <w:rsid w:val="003F3B18"/>
    <w:rsid w:val="003F3C01"/>
    <w:rsid w:val="003F7823"/>
    <w:rsid w:val="00402D80"/>
    <w:rsid w:val="00411A04"/>
    <w:rsid w:val="00414B52"/>
    <w:rsid w:val="00414E14"/>
    <w:rsid w:val="00415680"/>
    <w:rsid w:val="00425FBC"/>
    <w:rsid w:val="00436B2A"/>
    <w:rsid w:val="00467D09"/>
    <w:rsid w:val="00476CCA"/>
    <w:rsid w:val="004860EF"/>
    <w:rsid w:val="00495D0D"/>
    <w:rsid w:val="004B25FF"/>
    <w:rsid w:val="004D0964"/>
    <w:rsid w:val="004D5436"/>
    <w:rsid w:val="004D5F88"/>
    <w:rsid w:val="004D7A8D"/>
    <w:rsid w:val="004F6A21"/>
    <w:rsid w:val="00501D4E"/>
    <w:rsid w:val="00513D9A"/>
    <w:rsid w:val="00523DFE"/>
    <w:rsid w:val="00533704"/>
    <w:rsid w:val="005433CE"/>
    <w:rsid w:val="00546F0C"/>
    <w:rsid w:val="00553B5D"/>
    <w:rsid w:val="00555360"/>
    <w:rsid w:val="00555764"/>
    <w:rsid w:val="00556188"/>
    <w:rsid w:val="00556D72"/>
    <w:rsid w:val="0055716D"/>
    <w:rsid w:val="00560CD5"/>
    <w:rsid w:val="005628C0"/>
    <w:rsid w:val="00591F05"/>
    <w:rsid w:val="005961EB"/>
    <w:rsid w:val="005A398C"/>
    <w:rsid w:val="005B0FDF"/>
    <w:rsid w:val="005B1502"/>
    <w:rsid w:val="005B75FE"/>
    <w:rsid w:val="005C3CFB"/>
    <w:rsid w:val="005C4D31"/>
    <w:rsid w:val="005F5983"/>
    <w:rsid w:val="005F5CB3"/>
    <w:rsid w:val="00611279"/>
    <w:rsid w:val="0061611D"/>
    <w:rsid w:val="0062394B"/>
    <w:rsid w:val="0063075D"/>
    <w:rsid w:val="00632543"/>
    <w:rsid w:val="00634193"/>
    <w:rsid w:val="006422D4"/>
    <w:rsid w:val="0064451C"/>
    <w:rsid w:val="00650C47"/>
    <w:rsid w:val="00670AF2"/>
    <w:rsid w:val="00673E6D"/>
    <w:rsid w:val="00676B7E"/>
    <w:rsid w:val="006803E8"/>
    <w:rsid w:val="006B31F4"/>
    <w:rsid w:val="006B56A7"/>
    <w:rsid w:val="006B7913"/>
    <w:rsid w:val="006E391C"/>
    <w:rsid w:val="006E4549"/>
    <w:rsid w:val="006F1637"/>
    <w:rsid w:val="006F2614"/>
    <w:rsid w:val="006F4CF1"/>
    <w:rsid w:val="006F77DC"/>
    <w:rsid w:val="00704A1A"/>
    <w:rsid w:val="00726EEB"/>
    <w:rsid w:val="00736EB9"/>
    <w:rsid w:val="00755067"/>
    <w:rsid w:val="00762F71"/>
    <w:rsid w:val="00763CF2"/>
    <w:rsid w:val="007701D2"/>
    <w:rsid w:val="007718D0"/>
    <w:rsid w:val="00771E6C"/>
    <w:rsid w:val="007725B6"/>
    <w:rsid w:val="00774994"/>
    <w:rsid w:val="00783898"/>
    <w:rsid w:val="00793E0A"/>
    <w:rsid w:val="007A7791"/>
    <w:rsid w:val="007B13EB"/>
    <w:rsid w:val="007C0DCF"/>
    <w:rsid w:val="007C3807"/>
    <w:rsid w:val="007D0298"/>
    <w:rsid w:val="007D2604"/>
    <w:rsid w:val="007E1117"/>
    <w:rsid w:val="007F123A"/>
    <w:rsid w:val="007F2149"/>
    <w:rsid w:val="007F4A4C"/>
    <w:rsid w:val="00802255"/>
    <w:rsid w:val="00813DBC"/>
    <w:rsid w:val="00821700"/>
    <w:rsid w:val="00827CD1"/>
    <w:rsid w:val="00834F88"/>
    <w:rsid w:val="008506C6"/>
    <w:rsid w:val="008568F0"/>
    <w:rsid w:val="00860005"/>
    <w:rsid w:val="0086040B"/>
    <w:rsid w:val="0086277C"/>
    <w:rsid w:val="00862AF2"/>
    <w:rsid w:val="008647F2"/>
    <w:rsid w:val="008654E2"/>
    <w:rsid w:val="00874029"/>
    <w:rsid w:val="008917AD"/>
    <w:rsid w:val="008922FC"/>
    <w:rsid w:val="00892CCB"/>
    <w:rsid w:val="008957A2"/>
    <w:rsid w:val="008A6CDE"/>
    <w:rsid w:val="008B191D"/>
    <w:rsid w:val="008B2D59"/>
    <w:rsid w:val="008B55FB"/>
    <w:rsid w:val="008B6495"/>
    <w:rsid w:val="008C11EA"/>
    <w:rsid w:val="008C4725"/>
    <w:rsid w:val="008E648D"/>
    <w:rsid w:val="008E7079"/>
    <w:rsid w:val="008F3301"/>
    <w:rsid w:val="008F5076"/>
    <w:rsid w:val="009135F3"/>
    <w:rsid w:val="00917E20"/>
    <w:rsid w:val="00931360"/>
    <w:rsid w:val="00935D76"/>
    <w:rsid w:val="009533DD"/>
    <w:rsid w:val="00954DC3"/>
    <w:rsid w:val="00963AA5"/>
    <w:rsid w:val="00971181"/>
    <w:rsid w:val="00981895"/>
    <w:rsid w:val="00982042"/>
    <w:rsid w:val="00985C7D"/>
    <w:rsid w:val="009A44EE"/>
    <w:rsid w:val="009B5BE2"/>
    <w:rsid w:val="009C3A07"/>
    <w:rsid w:val="009C3F20"/>
    <w:rsid w:val="009C57CD"/>
    <w:rsid w:val="009D701A"/>
    <w:rsid w:val="009E2B32"/>
    <w:rsid w:val="009E7244"/>
    <w:rsid w:val="009F6AF6"/>
    <w:rsid w:val="00A0217B"/>
    <w:rsid w:val="00A02B35"/>
    <w:rsid w:val="00A15521"/>
    <w:rsid w:val="00A22748"/>
    <w:rsid w:val="00A326F8"/>
    <w:rsid w:val="00A4070B"/>
    <w:rsid w:val="00A42BCC"/>
    <w:rsid w:val="00A57BFC"/>
    <w:rsid w:val="00A6381E"/>
    <w:rsid w:val="00A643A5"/>
    <w:rsid w:val="00A6513D"/>
    <w:rsid w:val="00A65F80"/>
    <w:rsid w:val="00A66A0E"/>
    <w:rsid w:val="00A94D57"/>
    <w:rsid w:val="00AA5488"/>
    <w:rsid w:val="00AB1436"/>
    <w:rsid w:val="00AB2197"/>
    <w:rsid w:val="00AB4044"/>
    <w:rsid w:val="00AC0AD8"/>
    <w:rsid w:val="00AC49E4"/>
    <w:rsid w:val="00AC5226"/>
    <w:rsid w:val="00AD453B"/>
    <w:rsid w:val="00AF3AA6"/>
    <w:rsid w:val="00AF742B"/>
    <w:rsid w:val="00B15669"/>
    <w:rsid w:val="00B161DE"/>
    <w:rsid w:val="00B3499E"/>
    <w:rsid w:val="00B50E7A"/>
    <w:rsid w:val="00B523FD"/>
    <w:rsid w:val="00B61D4C"/>
    <w:rsid w:val="00B65424"/>
    <w:rsid w:val="00B7022D"/>
    <w:rsid w:val="00B714DC"/>
    <w:rsid w:val="00B75A86"/>
    <w:rsid w:val="00B7700F"/>
    <w:rsid w:val="00BA139D"/>
    <w:rsid w:val="00BA2110"/>
    <w:rsid w:val="00BA43EB"/>
    <w:rsid w:val="00BA563F"/>
    <w:rsid w:val="00BB1DBC"/>
    <w:rsid w:val="00BB3D2E"/>
    <w:rsid w:val="00BB4C40"/>
    <w:rsid w:val="00BC6B90"/>
    <w:rsid w:val="00BD16BD"/>
    <w:rsid w:val="00BE1FFC"/>
    <w:rsid w:val="00BE2114"/>
    <w:rsid w:val="00BE7081"/>
    <w:rsid w:val="00BF483D"/>
    <w:rsid w:val="00C01A5E"/>
    <w:rsid w:val="00C32277"/>
    <w:rsid w:val="00C506A5"/>
    <w:rsid w:val="00C64ABE"/>
    <w:rsid w:val="00C70629"/>
    <w:rsid w:val="00CA0FDE"/>
    <w:rsid w:val="00CA1448"/>
    <w:rsid w:val="00CB4039"/>
    <w:rsid w:val="00CB4DEE"/>
    <w:rsid w:val="00CB76E0"/>
    <w:rsid w:val="00CC0EC2"/>
    <w:rsid w:val="00CC1941"/>
    <w:rsid w:val="00CC5B0A"/>
    <w:rsid w:val="00CC6BBE"/>
    <w:rsid w:val="00CE6D2C"/>
    <w:rsid w:val="00D1662A"/>
    <w:rsid w:val="00D21E2C"/>
    <w:rsid w:val="00D22619"/>
    <w:rsid w:val="00D32349"/>
    <w:rsid w:val="00D36767"/>
    <w:rsid w:val="00D37B31"/>
    <w:rsid w:val="00D37BE1"/>
    <w:rsid w:val="00D40CBA"/>
    <w:rsid w:val="00D47B87"/>
    <w:rsid w:val="00D538DA"/>
    <w:rsid w:val="00DA1952"/>
    <w:rsid w:val="00DB0D3F"/>
    <w:rsid w:val="00DD1911"/>
    <w:rsid w:val="00DD6581"/>
    <w:rsid w:val="00DE58CB"/>
    <w:rsid w:val="00DF5FFE"/>
    <w:rsid w:val="00E21A9D"/>
    <w:rsid w:val="00E36FEF"/>
    <w:rsid w:val="00E6148E"/>
    <w:rsid w:val="00E62ED7"/>
    <w:rsid w:val="00E84029"/>
    <w:rsid w:val="00E97B13"/>
    <w:rsid w:val="00EB099F"/>
    <w:rsid w:val="00EB1A02"/>
    <w:rsid w:val="00EB304C"/>
    <w:rsid w:val="00EB3F3B"/>
    <w:rsid w:val="00EB4E15"/>
    <w:rsid w:val="00EC065A"/>
    <w:rsid w:val="00ED3F91"/>
    <w:rsid w:val="00EE0F06"/>
    <w:rsid w:val="00EE3CED"/>
    <w:rsid w:val="00EF0760"/>
    <w:rsid w:val="00F03657"/>
    <w:rsid w:val="00F038A0"/>
    <w:rsid w:val="00F34575"/>
    <w:rsid w:val="00F41882"/>
    <w:rsid w:val="00F57D8E"/>
    <w:rsid w:val="00F84F8D"/>
    <w:rsid w:val="00F875B9"/>
    <w:rsid w:val="00F92DBF"/>
    <w:rsid w:val="00FA0C83"/>
    <w:rsid w:val="00FB3D56"/>
    <w:rsid w:val="00FB48D8"/>
    <w:rsid w:val="00FB7B43"/>
    <w:rsid w:val="00FC03E2"/>
    <w:rsid w:val="00FD28BF"/>
    <w:rsid w:val="00FD2E97"/>
    <w:rsid w:val="00FF4E5B"/>
    <w:rsid w:val="00FF5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1CB5"/>
  <w15:chartTrackingRefBased/>
  <w15:docId w15:val="{728F547F-E37C-468D-8B9B-9AA8EC86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EE"/>
    <w:pPr>
      <w:spacing w:after="120"/>
    </w:pPr>
  </w:style>
  <w:style w:type="paragraph" w:styleId="Heading1">
    <w:name w:val="heading 1"/>
    <w:basedOn w:val="Normal"/>
    <w:next w:val="Normal"/>
    <w:link w:val="Heading1Char"/>
    <w:qFormat/>
    <w:rsid w:val="004D5F88"/>
    <w:pPr>
      <w:keepNext/>
      <w:keepLines/>
      <w:pBdr>
        <w:bottom w:val="single" w:sz="4" w:space="1" w:color="235D64" w:themeColor="accent5"/>
      </w:pBdr>
      <w:spacing w:before="240" w:after="0"/>
      <w:outlineLvl w:val="0"/>
    </w:pPr>
    <w:rPr>
      <w:rFonts w:asciiTheme="majorHAnsi" w:eastAsiaTheme="majorEastAsia" w:hAnsiTheme="majorHAnsi" w:cstheme="majorBidi"/>
      <w:b/>
      <w:color w:val="3F837C" w:themeColor="accent1" w:themeShade="BF"/>
      <w:sz w:val="36"/>
      <w:szCs w:val="32"/>
    </w:rPr>
  </w:style>
  <w:style w:type="paragraph" w:styleId="Heading2">
    <w:name w:val="heading 2"/>
    <w:basedOn w:val="Normal"/>
    <w:next w:val="Normal"/>
    <w:link w:val="Heading2Char"/>
    <w:unhideWhenUsed/>
    <w:qFormat/>
    <w:rsid w:val="004D5F88"/>
    <w:pPr>
      <w:keepNext/>
      <w:keepLines/>
      <w:pBdr>
        <w:bottom w:val="single" w:sz="4" w:space="1" w:color="235D64" w:themeColor="accent5"/>
      </w:pBdr>
      <w:spacing w:before="40" w:after="0"/>
      <w:outlineLvl w:val="1"/>
    </w:pPr>
    <w:rPr>
      <w:rFonts w:asciiTheme="majorHAnsi" w:eastAsiaTheme="majorEastAsia" w:hAnsiTheme="majorHAnsi" w:cstheme="majorBidi"/>
      <w:b/>
      <w:color w:val="3F837C" w:themeColor="accent1" w:themeShade="BF"/>
      <w:sz w:val="26"/>
      <w:szCs w:val="26"/>
    </w:rPr>
  </w:style>
  <w:style w:type="paragraph" w:styleId="Heading3">
    <w:name w:val="heading 3"/>
    <w:basedOn w:val="Normal"/>
    <w:next w:val="Normal"/>
    <w:link w:val="Heading3Char"/>
    <w:semiHidden/>
    <w:unhideWhenUsed/>
    <w:qFormat/>
    <w:rsid w:val="00495D0D"/>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495D0D"/>
    <w:pPr>
      <w:keepNext/>
      <w:spacing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495D0D"/>
    <w:pPr>
      <w:numPr>
        <w:ilvl w:val="4"/>
        <w:numId w:val="5"/>
      </w:numPr>
      <w:tabs>
        <w:tab w:val="left" w:pos="397"/>
        <w:tab w:val="left" w:pos="567"/>
      </w:tabs>
      <w:spacing w:before="20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495D0D"/>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495D0D"/>
    <w:pPr>
      <w:keepNext/>
      <w:spacing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495D0D"/>
    <w:pPr>
      <w:keepNext/>
      <w:spacing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495D0D"/>
    <w:pPr>
      <w:keepNext/>
      <w:spacing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F6A21"/>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F6A21"/>
    <w:rPr>
      <w:color w:val="808080"/>
    </w:rPr>
  </w:style>
  <w:style w:type="paragraph" w:styleId="Header">
    <w:name w:val="header"/>
    <w:aliases w:val="ho,header odd"/>
    <w:basedOn w:val="Normal"/>
    <w:link w:val="HeaderChar"/>
    <w:unhideWhenUsed/>
    <w:rsid w:val="004F6A21"/>
    <w:pPr>
      <w:tabs>
        <w:tab w:val="center" w:pos="4513"/>
        <w:tab w:val="right" w:pos="9026"/>
      </w:tabs>
      <w:spacing w:after="0" w:line="240" w:lineRule="auto"/>
    </w:pPr>
  </w:style>
  <w:style w:type="character" w:customStyle="1" w:styleId="HeaderChar">
    <w:name w:val="Header Char"/>
    <w:aliases w:val="ho Char,header odd Char"/>
    <w:basedOn w:val="DefaultParagraphFont"/>
    <w:link w:val="Header"/>
    <w:rsid w:val="004F6A21"/>
  </w:style>
  <w:style w:type="paragraph" w:styleId="Footer">
    <w:name w:val="footer"/>
    <w:basedOn w:val="Normal"/>
    <w:link w:val="FooterChar"/>
    <w:uiPriority w:val="99"/>
    <w:unhideWhenUsed/>
    <w:rsid w:val="004F6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A21"/>
  </w:style>
  <w:style w:type="paragraph" w:styleId="ListParagraph">
    <w:name w:val="List Paragraph"/>
    <w:aliases w:val="igunore,Subtitle Cover Pag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4F6A21"/>
    <w:pPr>
      <w:spacing w:after="0" w:line="240" w:lineRule="auto"/>
      <w:ind w:left="720"/>
    </w:pPr>
    <w:rPr>
      <w:rFonts w:ascii="Times New Roman" w:eastAsia="Times New Roman" w:hAnsi="Times New Roman" w:cs="Times New Roman"/>
      <w:sz w:val="24"/>
      <w:szCs w:val="24"/>
      <w:lang w:val="en-GB"/>
    </w:rPr>
  </w:style>
  <w:style w:type="character" w:customStyle="1" w:styleId="ListParagraphChar">
    <w:name w:val="List Paragraph Char"/>
    <w:aliases w:val="igunore Char,Subtitle Cover Page Char,Bullet List Char,FooterText Char,List Paragraph1 Char,numbered Char,Paragraphe de liste1 Char,Bulletr List Paragraph Char,列出段落 Char,列出段落1 Char,List Paragraph2 Char,List Paragraph21 Char"/>
    <w:link w:val="ListParagraph"/>
    <w:uiPriority w:val="34"/>
    <w:qFormat/>
    <w:locked/>
    <w:rsid w:val="004F6A21"/>
    <w:rPr>
      <w:rFonts w:ascii="Times New Roman" w:eastAsia="Times New Roman" w:hAnsi="Times New Roman" w:cs="Times New Roman"/>
      <w:sz w:val="24"/>
      <w:szCs w:val="24"/>
      <w:lang w:val="en-GB"/>
    </w:rPr>
  </w:style>
  <w:style w:type="paragraph" w:customStyle="1" w:styleId="western">
    <w:name w:val="western"/>
    <w:basedOn w:val="Normal"/>
    <w:rsid w:val="004F6A21"/>
    <w:pPr>
      <w:suppressAutoHyphens/>
      <w:spacing w:before="280" w:after="0" w:line="240" w:lineRule="auto"/>
      <w:jc w:val="both"/>
    </w:pPr>
    <w:rPr>
      <w:rFonts w:ascii="Arial Unicode MS" w:eastAsia="Arial Unicode MS" w:hAnsi="Arial Unicode MS" w:cs="Times New Roman"/>
      <w:sz w:val="24"/>
      <w:szCs w:val="24"/>
      <w:lang w:val="en-GB" w:eastAsia="ar-SA"/>
    </w:rPr>
  </w:style>
  <w:style w:type="character" w:customStyle="1" w:styleId="Heading1Char">
    <w:name w:val="Heading 1 Char"/>
    <w:basedOn w:val="DefaultParagraphFont"/>
    <w:link w:val="Heading1"/>
    <w:rsid w:val="004D5F88"/>
    <w:rPr>
      <w:rFonts w:asciiTheme="majorHAnsi" w:eastAsiaTheme="majorEastAsia" w:hAnsiTheme="majorHAnsi" w:cstheme="majorBidi"/>
      <w:b/>
      <w:color w:val="3F837C" w:themeColor="accent1" w:themeShade="BF"/>
      <w:sz w:val="36"/>
      <w:szCs w:val="32"/>
    </w:rPr>
  </w:style>
  <w:style w:type="character" w:customStyle="1" w:styleId="Heading2Char">
    <w:name w:val="Heading 2 Char"/>
    <w:basedOn w:val="DefaultParagraphFont"/>
    <w:link w:val="Heading2"/>
    <w:rsid w:val="004D5F88"/>
    <w:rPr>
      <w:rFonts w:asciiTheme="majorHAnsi" w:eastAsiaTheme="majorEastAsia" w:hAnsiTheme="majorHAnsi" w:cstheme="majorBidi"/>
      <w:b/>
      <w:color w:val="3F837C" w:themeColor="accent1" w:themeShade="BF"/>
      <w:sz w:val="26"/>
      <w:szCs w:val="26"/>
    </w:rPr>
  </w:style>
  <w:style w:type="character" w:styleId="IntenseReference">
    <w:name w:val="Intense Reference"/>
    <w:basedOn w:val="DefaultParagraphFont"/>
    <w:uiPriority w:val="32"/>
    <w:qFormat/>
    <w:rsid w:val="00783898"/>
    <w:rPr>
      <w:rFonts w:ascii="Calibri" w:hAnsi="Calibri"/>
      <w:b/>
      <w:bCs/>
      <w:smallCaps/>
      <w:color w:val="57AEA5" w:themeColor="accent1"/>
      <w:spacing w:val="5"/>
    </w:rPr>
  </w:style>
  <w:style w:type="paragraph" w:customStyle="1" w:styleId="Default">
    <w:name w:val="Default"/>
    <w:rsid w:val="007838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B3F3B"/>
    <w:pPr>
      <w:spacing w:after="0" w:line="240" w:lineRule="auto"/>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EB3F3B"/>
    <w:rPr>
      <w:rFonts w:ascii="Segoe UI" w:eastAsia="Times New Roman" w:hAnsi="Segoe UI" w:cs="Segoe UI"/>
      <w:sz w:val="18"/>
      <w:szCs w:val="18"/>
      <w:lang w:val="en-GB"/>
    </w:rPr>
  </w:style>
  <w:style w:type="character" w:customStyle="1" w:styleId="Style1">
    <w:name w:val="Style1"/>
    <w:basedOn w:val="DefaultParagraphFont"/>
    <w:uiPriority w:val="1"/>
    <w:rsid w:val="00EB3F3B"/>
    <w:rPr>
      <w:b/>
      <w:color w:val="FF0000"/>
    </w:rPr>
  </w:style>
  <w:style w:type="character" w:styleId="CommentReference">
    <w:name w:val="annotation reference"/>
    <w:basedOn w:val="DefaultParagraphFont"/>
    <w:unhideWhenUsed/>
    <w:rsid w:val="00EB3F3B"/>
    <w:rPr>
      <w:sz w:val="16"/>
      <w:szCs w:val="16"/>
    </w:rPr>
  </w:style>
  <w:style w:type="paragraph" w:styleId="CommentText">
    <w:name w:val="annotation text"/>
    <w:basedOn w:val="Normal"/>
    <w:link w:val="CommentTextChar"/>
    <w:unhideWhenUsed/>
    <w:rsid w:val="00EB3F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EB3F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EB3F3B"/>
    <w:rPr>
      <w:b/>
      <w:bCs/>
    </w:rPr>
  </w:style>
  <w:style w:type="character" w:customStyle="1" w:styleId="CommentSubjectChar">
    <w:name w:val="Comment Subject Char"/>
    <w:basedOn w:val="CommentTextChar"/>
    <w:link w:val="CommentSubject"/>
    <w:uiPriority w:val="99"/>
    <w:rsid w:val="00EB3F3B"/>
    <w:rPr>
      <w:rFonts w:ascii="Times New Roman" w:eastAsia="Times New Roman" w:hAnsi="Times New Roman" w:cs="Times New Roman"/>
      <w:b/>
      <w:bCs/>
      <w:sz w:val="20"/>
      <w:szCs w:val="20"/>
      <w:lang w:val="en-GB"/>
    </w:rPr>
  </w:style>
  <w:style w:type="table" w:customStyle="1" w:styleId="TableGrid22">
    <w:name w:val="Table Grid22"/>
    <w:basedOn w:val="TableNormal"/>
    <w:next w:val="TableGrid"/>
    <w:uiPriority w:val="39"/>
    <w:rsid w:val="00EB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499E"/>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391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6040B"/>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86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591F05"/>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495D0D"/>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495D0D"/>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495D0D"/>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495D0D"/>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495D0D"/>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495D0D"/>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495D0D"/>
    <w:rPr>
      <w:rFonts w:ascii="Calibri" w:eastAsia="Times New Roman" w:hAnsi="Calibri" w:cs="Times New Roman"/>
      <w:b/>
      <w:bCs/>
      <w:szCs w:val="24"/>
      <w:u w:val="single"/>
      <w:lang w:val="en-GB"/>
    </w:rPr>
  </w:style>
  <w:style w:type="numbering" w:customStyle="1" w:styleId="NoList1">
    <w:name w:val="No List1"/>
    <w:next w:val="NoList"/>
    <w:uiPriority w:val="99"/>
    <w:semiHidden/>
    <w:unhideWhenUsed/>
    <w:rsid w:val="00495D0D"/>
  </w:style>
  <w:style w:type="paragraph" w:customStyle="1" w:styleId="Bullet">
    <w:name w:val="Bullet"/>
    <w:basedOn w:val="Normal"/>
    <w:rsid w:val="00495D0D"/>
    <w:pPr>
      <w:numPr>
        <w:numId w:val="6"/>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495D0D"/>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495D0D"/>
    <w:rPr>
      <w:rFonts w:ascii="Calibri" w:eastAsia="MS Mincho" w:hAnsi="Calibri" w:cs="Times New Roman"/>
      <w:szCs w:val="24"/>
      <w:lang w:val="en-US" w:eastAsia="ja-JP"/>
    </w:rPr>
  </w:style>
  <w:style w:type="paragraph" w:customStyle="1" w:styleId="DocTitle">
    <w:name w:val="Doc Title"/>
    <w:basedOn w:val="Heading1"/>
    <w:rsid w:val="00495D0D"/>
    <w:pPr>
      <w:keepLines w:val="0"/>
      <w:pageBreakBefore/>
      <w:pBdr>
        <w:bottom w:val="single" w:sz="18" w:space="1" w:color="333399"/>
      </w:pBdr>
      <w:tabs>
        <w:tab w:val="left" w:pos="397"/>
        <w:tab w:val="left" w:pos="907"/>
        <w:tab w:val="left" w:pos="1134"/>
      </w:tabs>
      <w:spacing w:before="320" w:after="160" w:line="276" w:lineRule="auto"/>
      <w:jc w:val="both"/>
    </w:pPr>
    <w:rPr>
      <w:rFonts w:ascii="Arial" w:eastAsia="Times New Roman" w:hAnsi="Arial" w:cs="Times New Roman"/>
      <w:bCs/>
      <w:color w:val="333399"/>
      <w:sz w:val="32"/>
      <w:lang w:val="en-US"/>
    </w:rPr>
  </w:style>
  <w:style w:type="paragraph" w:customStyle="1" w:styleId="inserttext">
    <w:name w:val="insert text"/>
    <w:basedOn w:val="Normal"/>
    <w:rsid w:val="00495D0D"/>
    <w:pPr>
      <w:tabs>
        <w:tab w:val="left" w:pos="397"/>
      </w:tabs>
      <w:spacing w:after="100" w:line="276" w:lineRule="auto"/>
      <w:ind w:left="794"/>
      <w:jc w:val="both"/>
    </w:pPr>
    <w:rPr>
      <w:rFonts w:ascii="Calibri" w:eastAsia="MS Mincho" w:hAnsi="Calibri" w:cs="Times New Roman"/>
      <w:szCs w:val="24"/>
      <w:lang w:val="en-US" w:eastAsia="ja-JP"/>
    </w:rPr>
  </w:style>
  <w:style w:type="character" w:styleId="Hyperlink">
    <w:name w:val="Hyperlink"/>
    <w:uiPriority w:val="99"/>
    <w:rsid w:val="00495D0D"/>
    <w:rPr>
      <w:color w:val="0000FF"/>
      <w:u w:val="single"/>
    </w:rPr>
  </w:style>
  <w:style w:type="character" w:styleId="PageNumber">
    <w:name w:val="page number"/>
    <w:basedOn w:val="DefaultParagraphFont"/>
    <w:rsid w:val="00495D0D"/>
  </w:style>
  <w:style w:type="paragraph" w:styleId="Revision">
    <w:name w:val="Revision"/>
    <w:hidden/>
    <w:uiPriority w:val="99"/>
    <w:semiHidden/>
    <w:rsid w:val="00495D0D"/>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495D0D"/>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495D0D"/>
    <w:rPr>
      <w:rFonts w:ascii="Calibri" w:eastAsia="Times New Roman" w:hAnsi="Calibri" w:cs="Times New Roman"/>
      <w:szCs w:val="24"/>
      <w:lang w:val="en-GB"/>
    </w:rPr>
  </w:style>
  <w:style w:type="table" w:customStyle="1" w:styleId="TableGrid4">
    <w:name w:val="Table Grid4"/>
    <w:basedOn w:val="TableNormal"/>
    <w:next w:val="TableGrid"/>
    <w:uiPriority w:val="59"/>
    <w:rsid w:val="00495D0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95D0D"/>
    <w:rPr>
      <w:vertAlign w:val="superscript"/>
    </w:rPr>
  </w:style>
  <w:style w:type="paragraph" w:customStyle="1" w:styleId="FootnoteText1">
    <w:name w:val="Footnote Text1"/>
    <w:basedOn w:val="Normal"/>
    <w:next w:val="FootnoteText"/>
    <w:link w:val="FootnoteTextChar"/>
    <w:uiPriority w:val="99"/>
    <w:unhideWhenUsed/>
    <w:rsid w:val="00495D0D"/>
    <w:pPr>
      <w:spacing w:line="276" w:lineRule="auto"/>
      <w:jc w:val="both"/>
    </w:pPr>
    <w:rPr>
      <w:rFonts w:ascii="Calibri" w:eastAsia="Calibri" w:hAnsi="Calibri" w:cs="Arial"/>
    </w:rPr>
  </w:style>
  <w:style w:type="character" w:customStyle="1" w:styleId="FootnoteTextChar">
    <w:name w:val="Footnote Text Char"/>
    <w:basedOn w:val="DefaultParagraphFont"/>
    <w:link w:val="FootnoteText1"/>
    <w:uiPriority w:val="99"/>
    <w:rsid w:val="00495D0D"/>
    <w:rPr>
      <w:rFonts w:ascii="Calibri" w:eastAsia="Calibri" w:hAnsi="Calibri" w:cs="Arial"/>
      <w:lang w:eastAsia="en-US"/>
    </w:rPr>
  </w:style>
  <w:style w:type="paragraph" w:styleId="NormalWeb">
    <w:name w:val="Normal (Web)"/>
    <w:basedOn w:val="Normal"/>
    <w:uiPriority w:val="99"/>
    <w:unhideWhenUsed/>
    <w:rsid w:val="00495D0D"/>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495D0D"/>
    <w:pPr>
      <w:widowControl w:val="0"/>
      <w:suppressAutoHyphens/>
      <w:spacing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495D0D"/>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495D0D"/>
    <w:pPr>
      <w:suppressAutoHyphens/>
      <w:spacing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495D0D"/>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495D0D"/>
    <w:rPr>
      <w:sz w:val="24"/>
      <w:szCs w:val="24"/>
      <w:lang w:val="en-GB"/>
    </w:rPr>
  </w:style>
  <w:style w:type="paragraph" w:styleId="BodyText2">
    <w:name w:val="Body Text 2"/>
    <w:basedOn w:val="Normal"/>
    <w:link w:val="BodyText2Char"/>
    <w:semiHidden/>
    <w:unhideWhenUsed/>
    <w:rsid w:val="00495D0D"/>
    <w:pPr>
      <w:spacing w:line="276" w:lineRule="auto"/>
      <w:jc w:val="both"/>
    </w:pPr>
    <w:rPr>
      <w:sz w:val="24"/>
      <w:szCs w:val="24"/>
      <w:lang w:val="en-GB"/>
    </w:rPr>
  </w:style>
  <w:style w:type="character" w:customStyle="1" w:styleId="BodyText2Char1">
    <w:name w:val="Body Text 2 Char1"/>
    <w:basedOn w:val="DefaultParagraphFont"/>
    <w:uiPriority w:val="99"/>
    <w:semiHidden/>
    <w:rsid w:val="00495D0D"/>
  </w:style>
  <w:style w:type="character" w:customStyle="1" w:styleId="BodyText3Char">
    <w:name w:val="Body Text 3 Char"/>
    <w:basedOn w:val="DefaultParagraphFont"/>
    <w:link w:val="BodyText3"/>
    <w:semiHidden/>
    <w:rsid w:val="00495D0D"/>
    <w:rPr>
      <w:b/>
      <w:bCs/>
      <w:sz w:val="24"/>
      <w:szCs w:val="24"/>
      <w:u w:val="single"/>
      <w:lang w:val="en-GB"/>
    </w:rPr>
  </w:style>
  <w:style w:type="paragraph" w:styleId="BodyText3">
    <w:name w:val="Body Text 3"/>
    <w:basedOn w:val="Normal"/>
    <w:link w:val="BodyText3Char"/>
    <w:semiHidden/>
    <w:unhideWhenUsed/>
    <w:rsid w:val="00495D0D"/>
    <w:pPr>
      <w:spacing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495D0D"/>
    <w:rPr>
      <w:sz w:val="16"/>
      <w:szCs w:val="16"/>
    </w:rPr>
  </w:style>
  <w:style w:type="character" w:customStyle="1" w:styleId="BodyTextIndent2Char">
    <w:name w:val="Body Text Indent 2 Char"/>
    <w:basedOn w:val="DefaultParagraphFont"/>
    <w:link w:val="BodyTextIndent2"/>
    <w:semiHidden/>
    <w:rsid w:val="00495D0D"/>
    <w:rPr>
      <w:noProof/>
      <w:sz w:val="24"/>
      <w:szCs w:val="24"/>
      <w:lang w:val="en-GB"/>
    </w:rPr>
  </w:style>
  <w:style w:type="paragraph" w:styleId="BodyTextIndent2">
    <w:name w:val="Body Text Indent 2"/>
    <w:basedOn w:val="Normal"/>
    <w:link w:val="BodyTextIndent2Char"/>
    <w:semiHidden/>
    <w:unhideWhenUsed/>
    <w:rsid w:val="00495D0D"/>
    <w:pPr>
      <w:spacing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495D0D"/>
  </w:style>
  <w:style w:type="character" w:customStyle="1" w:styleId="BodyTextIndent3Char">
    <w:name w:val="Body Text Indent 3 Char"/>
    <w:basedOn w:val="DefaultParagraphFont"/>
    <w:link w:val="BodyTextIndent3"/>
    <w:semiHidden/>
    <w:rsid w:val="00495D0D"/>
    <w:rPr>
      <w:sz w:val="24"/>
      <w:szCs w:val="24"/>
      <w:lang w:val="en-GB" w:eastAsia="ar-SA"/>
    </w:rPr>
  </w:style>
  <w:style w:type="paragraph" w:styleId="BodyTextIndent3">
    <w:name w:val="Body Text Indent 3"/>
    <w:basedOn w:val="Normal"/>
    <w:link w:val="BodyTextIndent3Char"/>
    <w:semiHidden/>
    <w:unhideWhenUsed/>
    <w:rsid w:val="00495D0D"/>
    <w:pPr>
      <w:suppressAutoHyphens/>
      <w:spacing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495D0D"/>
    <w:rPr>
      <w:sz w:val="16"/>
      <w:szCs w:val="16"/>
    </w:rPr>
  </w:style>
  <w:style w:type="paragraph" w:customStyle="1" w:styleId="Parties">
    <w:name w:val="Parties"/>
    <w:basedOn w:val="Normal"/>
    <w:rsid w:val="00495D0D"/>
    <w:pPr>
      <w:numPr>
        <w:numId w:val="15"/>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495D0D"/>
    <w:pPr>
      <w:numPr>
        <w:numId w:val="16"/>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495D0D"/>
    <w:pPr>
      <w:suppressAutoHyphens/>
      <w:overflowPunct w:val="0"/>
      <w:autoSpaceDE w:val="0"/>
      <w:spacing w:line="276" w:lineRule="auto"/>
      <w:jc w:val="both"/>
    </w:pPr>
    <w:rPr>
      <w:rFonts w:ascii="Calibri" w:eastAsia="Times New Roman" w:hAnsi="Calibri" w:cs="Times New Roman"/>
      <w:szCs w:val="20"/>
      <w:lang w:val="en-GB" w:eastAsia="ar-SA"/>
    </w:rPr>
  </w:style>
  <w:style w:type="paragraph" w:customStyle="1" w:styleId="No2">
    <w:name w:val="No 2"/>
    <w:basedOn w:val="Normal"/>
    <w:rsid w:val="00495D0D"/>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495D0D"/>
    <w:pPr>
      <w:numPr>
        <w:ilvl w:val="1"/>
        <w:numId w:val="16"/>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495D0D"/>
    <w:pPr>
      <w:numPr>
        <w:numId w:val="0"/>
      </w:numPr>
      <w:tabs>
        <w:tab w:val="num" w:pos="397"/>
      </w:tabs>
      <w:spacing w:after="200"/>
      <w:ind w:left="397" w:hanging="397"/>
    </w:pPr>
    <w:rPr>
      <w:sz w:val="24"/>
      <w:szCs w:val="20"/>
    </w:rPr>
  </w:style>
  <w:style w:type="paragraph" w:customStyle="1" w:styleId="Paragraph3">
    <w:name w:val="Paragraph 3"/>
    <w:basedOn w:val="Normal"/>
    <w:semiHidden/>
    <w:rsid w:val="00495D0D"/>
    <w:pPr>
      <w:widowControl w:val="0"/>
      <w:suppressAutoHyphens/>
      <w:spacing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495D0D"/>
    <w:rPr>
      <w:b/>
      <w:bCs w:val="0"/>
    </w:rPr>
  </w:style>
  <w:style w:type="character" w:customStyle="1" w:styleId="searchword1">
    <w:name w:val="searchword1"/>
    <w:basedOn w:val="DefaultParagraphFont"/>
    <w:rsid w:val="00495D0D"/>
    <w:rPr>
      <w:shd w:val="clear" w:color="auto" w:fill="FFFF00"/>
    </w:rPr>
  </w:style>
  <w:style w:type="character" w:customStyle="1" w:styleId="DocumentMapChar">
    <w:name w:val="Document Map Char"/>
    <w:basedOn w:val="DefaultParagraphFont"/>
    <w:link w:val="DocumentMap"/>
    <w:semiHidden/>
    <w:rsid w:val="00495D0D"/>
    <w:rPr>
      <w:rFonts w:ascii="Tahoma" w:hAnsi="Tahoma" w:cs="Tahoma"/>
      <w:sz w:val="16"/>
      <w:szCs w:val="16"/>
      <w:lang w:val="en-GB"/>
    </w:rPr>
  </w:style>
  <w:style w:type="paragraph" w:styleId="DocumentMap">
    <w:name w:val="Document Map"/>
    <w:basedOn w:val="Normal"/>
    <w:link w:val="DocumentMapChar"/>
    <w:semiHidden/>
    <w:unhideWhenUsed/>
    <w:rsid w:val="00495D0D"/>
    <w:pPr>
      <w:spacing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495D0D"/>
    <w:rPr>
      <w:rFonts w:ascii="Segoe UI" w:hAnsi="Segoe UI" w:cs="Segoe UI"/>
      <w:sz w:val="16"/>
      <w:szCs w:val="16"/>
    </w:rPr>
  </w:style>
  <w:style w:type="paragraph" w:styleId="NoSpacing">
    <w:name w:val="No Spacing"/>
    <w:basedOn w:val="Normal"/>
    <w:uiPriority w:val="1"/>
    <w:qFormat/>
    <w:rsid w:val="00495D0D"/>
    <w:pPr>
      <w:spacing w:line="276" w:lineRule="auto"/>
      <w:jc w:val="both"/>
    </w:pPr>
    <w:rPr>
      <w:rFonts w:ascii="Calibri" w:eastAsia="Calibri" w:hAnsi="Calibri" w:cs="Times New Roman"/>
    </w:rPr>
  </w:style>
  <w:style w:type="paragraph" w:customStyle="1" w:styleId="TableText">
    <w:name w:val="Table Text"/>
    <w:basedOn w:val="Normal"/>
    <w:rsid w:val="00495D0D"/>
    <w:pPr>
      <w:spacing w:before="6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495D0D"/>
    <w:pPr>
      <w:spacing w:before="6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495D0D"/>
    <w:pPr>
      <w:tabs>
        <w:tab w:val="right" w:pos="993"/>
      </w:tabs>
      <w:autoSpaceDE w:val="0"/>
      <w:autoSpaceDN w:val="0"/>
      <w:adjustRightInd w:val="0"/>
      <w:spacing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495D0D"/>
    <w:pPr>
      <w:tabs>
        <w:tab w:val="left" w:pos="540"/>
      </w:tabs>
      <w:autoSpaceDE w:val="0"/>
      <w:autoSpaceDN w:val="0"/>
      <w:adjustRightInd w:val="0"/>
      <w:spacing w:before="24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495D0D"/>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495D0D"/>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495D0D"/>
  </w:style>
  <w:style w:type="character" w:customStyle="1" w:styleId="st1">
    <w:name w:val="st1"/>
    <w:basedOn w:val="DefaultParagraphFont"/>
    <w:rsid w:val="00495D0D"/>
  </w:style>
  <w:style w:type="paragraph" w:customStyle="1" w:styleId="OpenFormatting">
    <w:name w:val="Open Formatting"/>
    <w:basedOn w:val="Normal"/>
    <w:link w:val="OpenFormattingChar"/>
    <w:qFormat/>
    <w:locked/>
    <w:rsid w:val="00495D0D"/>
    <w:pPr>
      <w:spacing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495D0D"/>
    <w:rPr>
      <w:rFonts w:ascii="Calibri" w:eastAsia="Times New Roman" w:hAnsi="Calibri" w:cs="Times New Roman"/>
      <w:color w:val="FF0000"/>
      <w:lang w:val="en-GB"/>
    </w:rPr>
  </w:style>
  <w:style w:type="table" w:customStyle="1" w:styleId="GridTable4-Accent11">
    <w:name w:val="Grid Table 4 - Accent 11"/>
    <w:basedOn w:val="TableNormal"/>
    <w:next w:val="GridTable4-Accent1"/>
    <w:uiPriority w:val="49"/>
    <w:rsid w:val="00495D0D"/>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Heading1">
    <w:name w:val="TOC Heading1"/>
    <w:basedOn w:val="Heading1"/>
    <w:next w:val="Normal"/>
    <w:uiPriority w:val="39"/>
    <w:unhideWhenUsed/>
    <w:qFormat/>
    <w:rsid w:val="00495D0D"/>
    <w:pPr>
      <w:pBdr>
        <w:bottom w:val="none" w:sz="0" w:space="0" w:color="auto"/>
      </w:pBdr>
      <w:jc w:val="both"/>
      <w:outlineLvl w:val="9"/>
    </w:pPr>
    <w:rPr>
      <w:b w:val="0"/>
      <w:sz w:val="32"/>
      <w:lang w:val="en-US"/>
    </w:rPr>
  </w:style>
  <w:style w:type="paragraph" w:styleId="TOC1">
    <w:name w:val="toc 1"/>
    <w:basedOn w:val="Normal"/>
    <w:next w:val="Normal"/>
    <w:autoRedefine/>
    <w:uiPriority w:val="39"/>
    <w:unhideWhenUsed/>
    <w:rsid w:val="00495D0D"/>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495D0D"/>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495D0D"/>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495D0D"/>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495D0D"/>
    <w:rPr>
      <w:vertAlign w:val="superscript"/>
    </w:rPr>
  </w:style>
  <w:style w:type="paragraph" w:styleId="FootnoteText">
    <w:name w:val="footnote text"/>
    <w:basedOn w:val="Normal"/>
    <w:link w:val="FootnoteTextChar1"/>
    <w:uiPriority w:val="99"/>
    <w:semiHidden/>
    <w:unhideWhenUsed/>
    <w:rsid w:val="00495D0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95D0D"/>
    <w:rPr>
      <w:sz w:val="20"/>
      <w:szCs w:val="20"/>
    </w:rPr>
  </w:style>
  <w:style w:type="table" w:styleId="GridTable4-Accent1">
    <w:name w:val="Grid Table 4 Accent 1"/>
    <w:basedOn w:val="TableNormal"/>
    <w:uiPriority w:val="49"/>
    <w:rsid w:val="00495D0D"/>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customStyle="1" w:styleId="GridTable4-Accent111">
    <w:name w:val="Grid Table 4 - Accent 111"/>
    <w:basedOn w:val="TableNormal"/>
    <w:uiPriority w:val="49"/>
    <w:rsid w:val="0014115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584">
      <w:bodyDiv w:val="1"/>
      <w:marLeft w:val="0"/>
      <w:marRight w:val="0"/>
      <w:marTop w:val="0"/>
      <w:marBottom w:val="0"/>
      <w:divBdr>
        <w:top w:val="none" w:sz="0" w:space="0" w:color="auto"/>
        <w:left w:val="none" w:sz="0" w:space="0" w:color="auto"/>
        <w:bottom w:val="none" w:sz="0" w:space="0" w:color="auto"/>
        <w:right w:val="none" w:sz="0" w:space="0" w:color="auto"/>
      </w:divBdr>
    </w:div>
    <w:div w:id="76365980">
      <w:bodyDiv w:val="1"/>
      <w:marLeft w:val="0"/>
      <w:marRight w:val="0"/>
      <w:marTop w:val="0"/>
      <w:marBottom w:val="0"/>
      <w:divBdr>
        <w:top w:val="none" w:sz="0" w:space="0" w:color="auto"/>
        <w:left w:val="none" w:sz="0" w:space="0" w:color="auto"/>
        <w:bottom w:val="none" w:sz="0" w:space="0" w:color="auto"/>
        <w:right w:val="none" w:sz="0" w:space="0" w:color="auto"/>
      </w:divBdr>
    </w:div>
    <w:div w:id="168953562">
      <w:bodyDiv w:val="1"/>
      <w:marLeft w:val="0"/>
      <w:marRight w:val="0"/>
      <w:marTop w:val="0"/>
      <w:marBottom w:val="0"/>
      <w:divBdr>
        <w:top w:val="none" w:sz="0" w:space="0" w:color="auto"/>
        <w:left w:val="none" w:sz="0" w:space="0" w:color="auto"/>
        <w:bottom w:val="none" w:sz="0" w:space="0" w:color="auto"/>
        <w:right w:val="none" w:sz="0" w:space="0" w:color="auto"/>
      </w:divBdr>
    </w:div>
    <w:div w:id="302197478">
      <w:bodyDiv w:val="1"/>
      <w:marLeft w:val="0"/>
      <w:marRight w:val="0"/>
      <w:marTop w:val="0"/>
      <w:marBottom w:val="0"/>
      <w:divBdr>
        <w:top w:val="none" w:sz="0" w:space="0" w:color="auto"/>
        <w:left w:val="none" w:sz="0" w:space="0" w:color="auto"/>
        <w:bottom w:val="none" w:sz="0" w:space="0" w:color="auto"/>
        <w:right w:val="none" w:sz="0" w:space="0" w:color="auto"/>
      </w:divBdr>
    </w:div>
    <w:div w:id="340090251">
      <w:bodyDiv w:val="1"/>
      <w:marLeft w:val="0"/>
      <w:marRight w:val="0"/>
      <w:marTop w:val="0"/>
      <w:marBottom w:val="0"/>
      <w:divBdr>
        <w:top w:val="none" w:sz="0" w:space="0" w:color="auto"/>
        <w:left w:val="none" w:sz="0" w:space="0" w:color="auto"/>
        <w:bottom w:val="none" w:sz="0" w:space="0" w:color="auto"/>
        <w:right w:val="none" w:sz="0" w:space="0" w:color="auto"/>
      </w:divBdr>
    </w:div>
    <w:div w:id="565336268">
      <w:bodyDiv w:val="1"/>
      <w:marLeft w:val="0"/>
      <w:marRight w:val="0"/>
      <w:marTop w:val="0"/>
      <w:marBottom w:val="0"/>
      <w:divBdr>
        <w:top w:val="none" w:sz="0" w:space="0" w:color="auto"/>
        <w:left w:val="none" w:sz="0" w:space="0" w:color="auto"/>
        <w:bottom w:val="none" w:sz="0" w:space="0" w:color="auto"/>
        <w:right w:val="none" w:sz="0" w:space="0" w:color="auto"/>
      </w:divBdr>
    </w:div>
    <w:div w:id="751584315">
      <w:bodyDiv w:val="1"/>
      <w:marLeft w:val="0"/>
      <w:marRight w:val="0"/>
      <w:marTop w:val="0"/>
      <w:marBottom w:val="0"/>
      <w:divBdr>
        <w:top w:val="none" w:sz="0" w:space="0" w:color="auto"/>
        <w:left w:val="none" w:sz="0" w:space="0" w:color="auto"/>
        <w:bottom w:val="none" w:sz="0" w:space="0" w:color="auto"/>
        <w:right w:val="none" w:sz="0" w:space="0" w:color="auto"/>
      </w:divBdr>
    </w:div>
    <w:div w:id="800997411">
      <w:bodyDiv w:val="1"/>
      <w:marLeft w:val="0"/>
      <w:marRight w:val="0"/>
      <w:marTop w:val="0"/>
      <w:marBottom w:val="0"/>
      <w:divBdr>
        <w:top w:val="none" w:sz="0" w:space="0" w:color="auto"/>
        <w:left w:val="none" w:sz="0" w:space="0" w:color="auto"/>
        <w:bottom w:val="none" w:sz="0" w:space="0" w:color="auto"/>
        <w:right w:val="none" w:sz="0" w:space="0" w:color="auto"/>
      </w:divBdr>
    </w:div>
    <w:div w:id="838930770">
      <w:bodyDiv w:val="1"/>
      <w:marLeft w:val="0"/>
      <w:marRight w:val="0"/>
      <w:marTop w:val="0"/>
      <w:marBottom w:val="0"/>
      <w:divBdr>
        <w:top w:val="none" w:sz="0" w:space="0" w:color="auto"/>
        <w:left w:val="none" w:sz="0" w:space="0" w:color="auto"/>
        <w:bottom w:val="none" w:sz="0" w:space="0" w:color="auto"/>
        <w:right w:val="none" w:sz="0" w:space="0" w:color="auto"/>
      </w:divBdr>
    </w:div>
    <w:div w:id="885606275">
      <w:bodyDiv w:val="1"/>
      <w:marLeft w:val="0"/>
      <w:marRight w:val="0"/>
      <w:marTop w:val="0"/>
      <w:marBottom w:val="0"/>
      <w:divBdr>
        <w:top w:val="none" w:sz="0" w:space="0" w:color="auto"/>
        <w:left w:val="none" w:sz="0" w:space="0" w:color="auto"/>
        <w:bottom w:val="none" w:sz="0" w:space="0" w:color="auto"/>
        <w:right w:val="none" w:sz="0" w:space="0" w:color="auto"/>
      </w:divBdr>
    </w:div>
    <w:div w:id="932126536">
      <w:bodyDiv w:val="1"/>
      <w:marLeft w:val="0"/>
      <w:marRight w:val="0"/>
      <w:marTop w:val="0"/>
      <w:marBottom w:val="0"/>
      <w:divBdr>
        <w:top w:val="none" w:sz="0" w:space="0" w:color="auto"/>
        <w:left w:val="none" w:sz="0" w:space="0" w:color="auto"/>
        <w:bottom w:val="none" w:sz="0" w:space="0" w:color="auto"/>
        <w:right w:val="none" w:sz="0" w:space="0" w:color="auto"/>
      </w:divBdr>
    </w:div>
    <w:div w:id="960183091">
      <w:bodyDiv w:val="1"/>
      <w:marLeft w:val="0"/>
      <w:marRight w:val="0"/>
      <w:marTop w:val="0"/>
      <w:marBottom w:val="0"/>
      <w:divBdr>
        <w:top w:val="none" w:sz="0" w:space="0" w:color="auto"/>
        <w:left w:val="none" w:sz="0" w:space="0" w:color="auto"/>
        <w:bottom w:val="none" w:sz="0" w:space="0" w:color="auto"/>
        <w:right w:val="none" w:sz="0" w:space="0" w:color="auto"/>
      </w:divBdr>
    </w:div>
    <w:div w:id="962542679">
      <w:bodyDiv w:val="1"/>
      <w:marLeft w:val="0"/>
      <w:marRight w:val="0"/>
      <w:marTop w:val="0"/>
      <w:marBottom w:val="0"/>
      <w:divBdr>
        <w:top w:val="none" w:sz="0" w:space="0" w:color="auto"/>
        <w:left w:val="none" w:sz="0" w:space="0" w:color="auto"/>
        <w:bottom w:val="none" w:sz="0" w:space="0" w:color="auto"/>
        <w:right w:val="none" w:sz="0" w:space="0" w:color="auto"/>
      </w:divBdr>
    </w:div>
    <w:div w:id="1067801088">
      <w:bodyDiv w:val="1"/>
      <w:marLeft w:val="0"/>
      <w:marRight w:val="0"/>
      <w:marTop w:val="0"/>
      <w:marBottom w:val="0"/>
      <w:divBdr>
        <w:top w:val="none" w:sz="0" w:space="0" w:color="auto"/>
        <w:left w:val="none" w:sz="0" w:space="0" w:color="auto"/>
        <w:bottom w:val="none" w:sz="0" w:space="0" w:color="auto"/>
        <w:right w:val="none" w:sz="0" w:space="0" w:color="auto"/>
      </w:divBdr>
    </w:div>
    <w:div w:id="1088580107">
      <w:bodyDiv w:val="1"/>
      <w:marLeft w:val="0"/>
      <w:marRight w:val="0"/>
      <w:marTop w:val="0"/>
      <w:marBottom w:val="0"/>
      <w:divBdr>
        <w:top w:val="none" w:sz="0" w:space="0" w:color="auto"/>
        <w:left w:val="none" w:sz="0" w:space="0" w:color="auto"/>
        <w:bottom w:val="none" w:sz="0" w:space="0" w:color="auto"/>
        <w:right w:val="none" w:sz="0" w:space="0" w:color="auto"/>
      </w:divBdr>
    </w:div>
    <w:div w:id="1170439013">
      <w:bodyDiv w:val="1"/>
      <w:marLeft w:val="0"/>
      <w:marRight w:val="0"/>
      <w:marTop w:val="0"/>
      <w:marBottom w:val="0"/>
      <w:divBdr>
        <w:top w:val="none" w:sz="0" w:space="0" w:color="auto"/>
        <w:left w:val="none" w:sz="0" w:space="0" w:color="auto"/>
        <w:bottom w:val="none" w:sz="0" w:space="0" w:color="auto"/>
        <w:right w:val="none" w:sz="0" w:space="0" w:color="auto"/>
      </w:divBdr>
    </w:div>
    <w:div w:id="1214654866">
      <w:bodyDiv w:val="1"/>
      <w:marLeft w:val="0"/>
      <w:marRight w:val="0"/>
      <w:marTop w:val="0"/>
      <w:marBottom w:val="0"/>
      <w:divBdr>
        <w:top w:val="none" w:sz="0" w:space="0" w:color="auto"/>
        <w:left w:val="none" w:sz="0" w:space="0" w:color="auto"/>
        <w:bottom w:val="none" w:sz="0" w:space="0" w:color="auto"/>
        <w:right w:val="none" w:sz="0" w:space="0" w:color="auto"/>
      </w:divBdr>
    </w:div>
    <w:div w:id="1219054069">
      <w:bodyDiv w:val="1"/>
      <w:marLeft w:val="0"/>
      <w:marRight w:val="0"/>
      <w:marTop w:val="0"/>
      <w:marBottom w:val="0"/>
      <w:divBdr>
        <w:top w:val="none" w:sz="0" w:space="0" w:color="auto"/>
        <w:left w:val="none" w:sz="0" w:space="0" w:color="auto"/>
        <w:bottom w:val="none" w:sz="0" w:space="0" w:color="auto"/>
        <w:right w:val="none" w:sz="0" w:space="0" w:color="auto"/>
      </w:divBdr>
    </w:div>
    <w:div w:id="1372728617">
      <w:bodyDiv w:val="1"/>
      <w:marLeft w:val="0"/>
      <w:marRight w:val="0"/>
      <w:marTop w:val="0"/>
      <w:marBottom w:val="0"/>
      <w:divBdr>
        <w:top w:val="none" w:sz="0" w:space="0" w:color="auto"/>
        <w:left w:val="none" w:sz="0" w:space="0" w:color="auto"/>
        <w:bottom w:val="none" w:sz="0" w:space="0" w:color="auto"/>
        <w:right w:val="none" w:sz="0" w:space="0" w:color="auto"/>
      </w:divBdr>
    </w:div>
    <w:div w:id="1374965109">
      <w:bodyDiv w:val="1"/>
      <w:marLeft w:val="0"/>
      <w:marRight w:val="0"/>
      <w:marTop w:val="0"/>
      <w:marBottom w:val="0"/>
      <w:divBdr>
        <w:top w:val="none" w:sz="0" w:space="0" w:color="auto"/>
        <w:left w:val="none" w:sz="0" w:space="0" w:color="auto"/>
        <w:bottom w:val="none" w:sz="0" w:space="0" w:color="auto"/>
        <w:right w:val="none" w:sz="0" w:space="0" w:color="auto"/>
      </w:divBdr>
    </w:div>
    <w:div w:id="1410228873">
      <w:bodyDiv w:val="1"/>
      <w:marLeft w:val="0"/>
      <w:marRight w:val="0"/>
      <w:marTop w:val="0"/>
      <w:marBottom w:val="0"/>
      <w:divBdr>
        <w:top w:val="none" w:sz="0" w:space="0" w:color="auto"/>
        <w:left w:val="none" w:sz="0" w:space="0" w:color="auto"/>
        <w:bottom w:val="none" w:sz="0" w:space="0" w:color="auto"/>
        <w:right w:val="none" w:sz="0" w:space="0" w:color="auto"/>
      </w:divBdr>
    </w:div>
    <w:div w:id="1451968620">
      <w:bodyDiv w:val="1"/>
      <w:marLeft w:val="0"/>
      <w:marRight w:val="0"/>
      <w:marTop w:val="0"/>
      <w:marBottom w:val="0"/>
      <w:divBdr>
        <w:top w:val="none" w:sz="0" w:space="0" w:color="auto"/>
        <w:left w:val="none" w:sz="0" w:space="0" w:color="auto"/>
        <w:bottom w:val="none" w:sz="0" w:space="0" w:color="auto"/>
        <w:right w:val="none" w:sz="0" w:space="0" w:color="auto"/>
      </w:divBdr>
    </w:div>
    <w:div w:id="1576284155">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48245626">
      <w:bodyDiv w:val="1"/>
      <w:marLeft w:val="0"/>
      <w:marRight w:val="0"/>
      <w:marTop w:val="0"/>
      <w:marBottom w:val="0"/>
      <w:divBdr>
        <w:top w:val="none" w:sz="0" w:space="0" w:color="auto"/>
        <w:left w:val="none" w:sz="0" w:space="0" w:color="auto"/>
        <w:bottom w:val="none" w:sz="0" w:space="0" w:color="auto"/>
        <w:right w:val="none" w:sz="0" w:space="0" w:color="auto"/>
      </w:divBdr>
    </w:div>
    <w:div w:id="1664627084">
      <w:bodyDiv w:val="1"/>
      <w:marLeft w:val="0"/>
      <w:marRight w:val="0"/>
      <w:marTop w:val="0"/>
      <w:marBottom w:val="0"/>
      <w:divBdr>
        <w:top w:val="none" w:sz="0" w:space="0" w:color="auto"/>
        <w:left w:val="none" w:sz="0" w:space="0" w:color="auto"/>
        <w:bottom w:val="none" w:sz="0" w:space="0" w:color="auto"/>
        <w:right w:val="none" w:sz="0" w:space="0" w:color="auto"/>
      </w:divBdr>
    </w:div>
    <w:div w:id="1690327830">
      <w:bodyDiv w:val="1"/>
      <w:marLeft w:val="0"/>
      <w:marRight w:val="0"/>
      <w:marTop w:val="0"/>
      <w:marBottom w:val="0"/>
      <w:divBdr>
        <w:top w:val="none" w:sz="0" w:space="0" w:color="auto"/>
        <w:left w:val="none" w:sz="0" w:space="0" w:color="auto"/>
        <w:bottom w:val="none" w:sz="0" w:space="0" w:color="auto"/>
        <w:right w:val="none" w:sz="0" w:space="0" w:color="auto"/>
      </w:divBdr>
      <w:divsChild>
        <w:div w:id="86343247">
          <w:marLeft w:val="0"/>
          <w:marRight w:val="0"/>
          <w:marTop w:val="0"/>
          <w:marBottom w:val="0"/>
          <w:divBdr>
            <w:top w:val="none" w:sz="0" w:space="0" w:color="auto"/>
            <w:left w:val="none" w:sz="0" w:space="0" w:color="auto"/>
            <w:bottom w:val="none" w:sz="0" w:space="0" w:color="auto"/>
            <w:right w:val="none" w:sz="0" w:space="0" w:color="auto"/>
          </w:divBdr>
        </w:div>
        <w:div w:id="1151558757">
          <w:marLeft w:val="0"/>
          <w:marRight w:val="0"/>
          <w:marTop w:val="0"/>
          <w:marBottom w:val="0"/>
          <w:divBdr>
            <w:top w:val="none" w:sz="0" w:space="0" w:color="auto"/>
            <w:left w:val="none" w:sz="0" w:space="0" w:color="auto"/>
            <w:bottom w:val="none" w:sz="0" w:space="0" w:color="auto"/>
            <w:right w:val="none" w:sz="0" w:space="0" w:color="auto"/>
          </w:divBdr>
        </w:div>
        <w:div w:id="779760404">
          <w:marLeft w:val="0"/>
          <w:marRight w:val="0"/>
          <w:marTop w:val="0"/>
          <w:marBottom w:val="0"/>
          <w:divBdr>
            <w:top w:val="none" w:sz="0" w:space="0" w:color="auto"/>
            <w:left w:val="none" w:sz="0" w:space="0" w:color="auto"/>
            <w:bottom w:val="none" w:sz="0" w:space="0" w:color="auto"/>
            <w:right w:val="none" w:sz="0" w:space="0" w:color="auto"/>
          </w:divBdr>
        </w:div>
        <w:div w:id="661738561">
          <w:marLeft w:val="0"/>
          <w:marRight w:val="0"/>
          <w:marTop w:val="0"/>
          <w:marBottom w:val="0"/>
          <w:divBdr>
            <w:top w:val="none" w:sz="0" w:space="0" w:color="auto"/>
            <w:left w:val="none" w:sz="0" w:space="0" w:color="auto"/>
            <w:bottom w:val="none" w:sz="0" w:space="0" w:color="auto"/>
            <w:right w:val="none" w:sz="0" w:space="0" w:color="auto"/>
          </w:divBdr>
        </w:div>
        <w:div w:id="1378047136">
          <w:marLeft w:val="0"/>
          <w:marRight w:val="0"/>
          <w:marTop w:val="0"/>
          <w:marBottom w:val="0"/>
          <w:divBdr>
            <w:top w:val="none" w:sz="0" w:space="0" w:color="auto"/>
            <w:left w:val="none" w:sz="0" w:space="0" w:color="auto"/>
            <w:bottom w:val="none" w:sz="0" w:space="0" w:color="auto"/>
            <w:right w:val="none" w:sz="0" w:space="0" w:color="auto"/>
          </w:divBdr>
        </w:div>
        <w:div w:id="806582867">
          <w:marLeft w:val="0"/>
          <w:marRight w:val="0"/>
          <w:marTop w:val="0"/>
          <w:marBottom w:val="0"/>
          <w:divBdr>
            <w:top w:val="none" w:sz="0" w:space="0" w:color="auto"/>
            <w:left w:val="none" w:sz="0" w:space="0" w:color="auto"/>
            <w:bottom w:val="none" w:sz="0" w:space="0" w:color="auto"/>
            <w:right w:val="none" w:sz="0" w:space="0" w:color="auto"/>
          </w:divBdr>
        </w:div>
      </w:divsChild>
    </w:div>
    <w:div w:id="1813868740">
      <w:bodyDiv w:val="1"/>
      <w:marLeft w:val="0"/>
      <w:marRight w:val="0"/>
      <w:marTop w:val="0"/>
      <w:marBottom w:val="0"/>
      <w:divBdr>
        <w:top w:val="none" w:sz="0" w:space="0" w:color="auto"/>
        <w:left w:val="none" w:sz="0" w:space="0" w:color="auto"/>
        <w:bottom w:val="none" w:sz="0" w:space="0" w:color="auto"/>
        <w:right w:val="none" w:sz="0" w:space="0" w:color="auto"/>
      </w:divBdr>
    </w:div>
    <w:div w:id="21185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GP Colours">
      <a:dk1>
        <a:sysClr val="windowText" lastClr="000000"/>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78dcbba6-61ab-40ad-86f6-a81b628a2b98">Live</eDocs_FileStatus>
    <TaxCatchAll xmlns="78dcbba6-61ab-40ad-86f6-a81b628a2b98">
      <Value>19</Value>
      <Value>11</Value>
      <Value>17</Value>
      <Value>1</Value>
      <Value>126</Value>
    </TaxCatchAll>
    <_vti_ItemDeclaredRecord xmlns="78dcbba6-61ab-40ad-86f6-a81b628a2b98" xsi:nil="true"/>
    <mbbd3fafa5ab4e5eb8a6a5e099cef439 xmlns="78dcbba6-61ab-40ad-86f6-a81b628a2b98">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h1f8bb4843d6459a8b809123185593c7 xmlns="78dcbba6-61ab-40ad-86f6-a81b628a2b98">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d0acbed4-d2aa-46d9-b106-ad151dfa0270</TermId>
        </TermInfo>
      </Terms>
    </h1f8bb4843d6459a8b809123185593c7>
    <eDocs_eFileName xmlns="78dcbba6-61ab-40ad-86f6-a81b628a2b98">AGF001-001-2026</eDocs_eFileName>
    <fbaa881fc4ae443f9fdafbdd527793df xmlns="78dcbba6-61ab-40ad-86f6-a81b628a2b98">
      <Terms xmlns="http://schemas.microsoft.com/office/infopath/2007/PartnerControls"/>
    </fbaa881fc4ae443f9fdafbdd527793df>
    <nb1b8a72855341e18dd75ce464e281f2 xmlns="78dcbba6-61ab-40ad-86f6-a81b628a2b9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7e744529-5852-4e24-8be7-20ac55b7214e</TermId>
        </TermInfo>
      </Terms>
    </nb1b8a72855341e18dd75ce464e281f2>
    <m02c691f3efa402dab5cbaa8c240a9e7 xmlns="78dcbba6-61ab-40ad-86f6-a81b628a2b9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41fa1766-aa2c-4505-9706-970537c42017</TermId>
        </TermInfo>
        <TermInfo xmlns="http://schemas.microsoft.com/office/infopath/2007/PartnerControls">
          <TermName xmlns="http://schemas.microsoft.com/office/infopath/2007/PartnerControls">#eTenders</TermName>
          <TermId xmlns="http://schemas.microsoft.com/office/infopath/2007/PartnerControls">da6e87e8-5151-4aa7-b645-d3055ea4aff8</TermId>
        </TermInfo>
      </Terms>
    </m02c691f3efa402dab5cbaa8c240a9e7>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EEADABC72C015248B7D8FE3BC81142AF" ma:contentTypeVersion="253" ma:contentTypeDescription="" ma:contentTypeScope="" ma:versionID="d4e8084be1e67f4b52323c50246cb524">
  <xsd:schema xmlns:xsd="http://www.w3.org/2001/XMLSchema" xmlns:xs="http://www.w3.org/2001/XMLSchema" xmlns:p="http://schemas.microsoft.com/office/2006/metadata/properties" xmlns:ns2="78dcbba6-61ab-40ad-86f6-a81b628a2b98" targetNamespace="http://schemas.microsoft.com/office/2006/metadata/properties" ma:root="true" ma:fieldsID="77d18d35c56be1457253f3e29d28377d" ns2:_="">
    <xsd:import namespace="78dcbba6-61ab-40ad-86f6-a81b628a2b9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cbba6-61ab-40ad-86f6-a81b628a2b9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1fc2bd3-ae0e-48ae-951e-7f6c163c748d}" ma:internalName="TaxCatchAll" ma:showField="CatchAllData" ma:web="78dcbba6-61ab-40ad-86f6-a81b628a2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1fc2bd3-ae0e-48ae-951e-7f6c163c748d}" ma:internalName="TaxCatchAllLabel" ma:readOnly="true" ma:showField="CatchAllDataLabel" ma:web="78dcbba6-61ab-40ad-86f6-a81b628a2b9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d0acbed4-d2aa-46d9-b106-ad151dfa0270"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1f0875b0-8ca5-4937-8743-5a134dfbd20c"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ublic|a1b4c7cd-a7b1-492f-a832-d2897b8288db"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1f0875b0-8ca5-4937-8743-5a134dfbd20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D4E54-2EBA-48A6-805E-53EEF5151211}">
  <ds:schemaRefs>
    <ds:schemaRef ds:uri="http://schemas.microsoft.com/office/2006/metadata/properties"/>
    <ds:schemaRef ds:uri="http://schemas.microsoft.com/office/infopath/2007/PartnerControls"/>
    <ds:schemaRef ds:uri="78dcbba6-61ab-40ad-86f6-a81b628a2b98"/>
  </ds:schemaRefs>
</ds:datastoreItem>
</file>

<file path=customXml/itemProps2.xml><?xml version="1.0" encoding="utf-8"?>
<ds:datastoreItem xmlns:ds="http://schemas.openxmlformats.org/officeDocument/2006/customXml" ds:itemID="{09CE5940-9551-4B25-8621-BB9A47FF311F}">
  <ds:schemaRefs>
    <ds:schemaRef ds:uri="http://schemas.openxmlformats.org/officeDocument/2006/bibliography"/>
  </ds:schemaRefs>
</ds:datastoreItem>
</file>

<file path=customXml/itemProps3.xml><?xml version="1.0" encoding="utf-8"?>
<ds:datastoreItem xmlns:ds="http://schemas.openxmlformats.org/officeDocument/2006/customXml" ds:itemID="{07D996DC-65D5-4366-9479-74F9B9AB2A78}">
  <ds:schemaRefs>
    <ds:schemaRef ds:uri="http://schemas.microsoft.com/sharepoint/v3/contenttype/forms"/>
  </ds:schemaRefs>
</ds:datastoreItem>
</file>

<file path=customXml/itemProps4.xml><?xml version="1.0" encoding="utf-8"?>
<ds:datastoreItem xmlns:ds="http://schemas.openxmlformats.org/officeDocument/2006/customXml" ds:itemID="{F267B192-C07B-4BAD-B998-C63297315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cbba6-61ab-40ad-86f6-a81b628a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McGovern (OGP)</dc:creator>
  <cp:keywords/>
  <dc:description/>
  <cp:lastModifiedBy>Maguire, Pat</cp:lastModifiedBy>
  <cp:revision>5</cp:revision>
  <dcterms:created xsi:type="dcterms:W3CDTF">2026-06-22T12:57:00Z</dcterms:created>
  <dcterms:modified xsi:type="dcterms:W3CDTF">2026-06-22T13:01:00Z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Year">
    <vt:lpwstr>126;#2026|7e744529-5852-4e24-8be7-20ac55b7214e</vt:lpwstr>
  </property>
  <property fmtid="{D5CDD505-2E9C-101B-9397-08002B2CF9AE}" pid="4" name="ContentTypeId">
    <vt:lpwstr>0x0101000BC94875665D404BB1351B53C41FD2C000EEADABC72C015248B7D8FE3BC81142AF</vt:lpwstr>
  </property>
  <property fmtid="{D5CDD505-2E9C-101B-9397-08002B2CF9AE}" pid="5" name="eDocs_SeriesSubSeries">
    <vt:lpwstr>2;#002|bd1ffad2-d430-4d07-a6fe-bb6e8443abb9</vt:lpwstr>
  </property>
  <property fmtid="{D5CDD505-2E9C-101B-9397-08002B2CF9AE}" pid="6" name="eDocs_FileTopics">
    <vt:lpwstr>19;#Procurement|41fa1766-aa2c-4505-9706-970537c42017;#17;##eTenders|da6e87e8-5151-4aa7-b645-d3055ea4aff8</vt:lpwstr>
  </property>
  <property fmtid="{D5CDD505-2E9C-101B-9397-08002B2CF9AE}" pid="7" name="ItemRetentionFormula">
    <vt:lpwstr/>
  </property>
  <property fmtid="{D5CDD505-2E9C-101B-9397-08002B2CF9AE}" pid="8" name="eDocs_SecurityClassification">
    <vt:lpwstr>11;#Restrictive|b6cdb86d-2ce3-48f9-be6c-29b64bc9cca9</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eDocs_SecurityLevel">
    <vt:lpwstr>Unclassified</vt:lpwstr>
  </property>
  <property fmtid="{D5CDD505-2E9C-101B-9397-08002B2CF9AE}" pid="12" name="_dlc_LastRun">
    <vt:lpwstr>09/24/2022 23:10:01</vt:lpwstr>
  </property>
  <property fmtid="{D5CDD505-2E9C-101B-9397-08002B2CF9AE}" pid="13" name="_dlc_ItemStageId">
    <vt:lpwstr>1</vt:lpwstr>
  </property>
  <property fmtid="{D5CDD505-2E9C-101B-9397-08002B2CF9AE}" pid="14" name="eDocs_Series">
    <vt:lpwstr>1;#001|d0acbed4-d2aa-46d9-b106-ad151dfa0270</vt:lpwstr>
  </property>
  <property fmtid="{D5CDD505-2E9C-101B-9397-08002B2CF9AE}" pid="15" name="ge25f6a3ef6f42d4865685f2a74bf8c7">
    <vt:lpwstr/>
  </property>
  <property fmtid="{D5CDD505-2E9C-101B-9397-08002B2CF9AE}" pid="16" name="eDocs_RetentionPeriodTerm">
    <vt:lpwstr/>
  </property>
</Properties>
</file>