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D01B1" w14:textId="77777777" w:rsidR="00AD5F86" w:rsidRDefault="00AD5F86" w:rsidP="00AD5F86">
      <w:pPr>
        <w:autoSpaceDE/>
        <w:autoSpaceDN/>
        <w:adjustRightInd/>
        <w:jc w:val="center"/>
        <w:rPr>
          <w:rFonts w:asciiTheme="minorHAnsi" w:hAnsiTheme="minorHAnsi" w:cstheme="minorHAnsi"/>
          <w:b/>
          <w:caps/>
        </w:rPr>
      </w:pPr>
      <w:r>
        <w:rPr>
          <w:rFonts w:asciiTheme="minorHAnsi" w:hAnsiTheme="minorHAnsi" w:cstheme="minorHAnsi"/>
          <w:b/>
          <w:caps/>
        </w:rPr>
        <w:t>APPENDIX 3</w:t>
      </w:r>
    </w:p>
    <w:p w14:paraId="05B6E634" w14:textId="77777777" w:rsidR="00AD5F86" w:rsidRDefault="00AD5F86" w:rsidP="00AD5F86">
      <w:pPr>
        <w:autoSpaceDE/>
        <w:autoSpaceDN/>
        <w:adjustRightInd/>
        <w:jc w:val="center"/>
        <w:rPr>
          <w:rFonts w:asciiTheme="minorHAnsi" w:hAnsiTheme="minorHAnsi" w:cstheme="minorHAnsi"/>
          <w:b/>
          <w:caps/>
        </w:rPr>
      </w:pPr>
    </w:p>
    <w:p w14:paraId="54AA18F4" w14:textId="77777777" w:rsidR="00AD5F86" w:rsidRDefault="00AD5F86" w:rsidP="00AD5F86">
      <w:pPr>
        <w:autoSpaceDE/>
        <w:autoSpaceDN/>
        <w:adjustRightInd/>
        <w:jc w:val="center"/>
        <w:rPr>
          <w:rFonts w:asciiTheme="minorHAnsi" w:hAnsiTheme="minorHAnsi" w:cstheme="minorHAnsi"/>
          <w:b/>
          <w:caps/>
        </w:rPr>
      </w:pPr>
      <w:r w:rsidRPr="0032253D">
        <w:rPr>
          <w:rFonts w:asciiTheme="minorHAnsi" w:hAnsiTheme="minorHAnsi" w:cstheme="minorHAnsi"/>
          <w:b/>
          <w:caps/>
        </w:rPr>
        <w:t>Pricing Schedule</w:t>
      </w:r>
    </w:p>
    <w:p w14:paraId="1C8C2E19" w14:textId="77777777" w:rsidR="00AD5F86" w:rsidRDefault="00AD5F86" w:rsidP="00AD5F86">
      <w:pPr>
        <w:autoSpaceDE/>
        <w:autoSpaceDN/>
        <w:adjustRightInd/>
        <w:jc w:val="center"/>
        <w:rPr>
          <w:rFonts w:asciiTheme="minorHAnsi" w:hAnsiTheme="minorHAnsi" w:cstheme="minorHAnsi"/>
          <w:b/>
          <w:caps/>
        </w:rPr>
      </w:pPr>
    </w:p>
    <w:p w14:paraId="1AB78B81" w14:textId="77777777" w:rsidR="00AD5F86" w:rsidRPr="0032253D" w:rsidRDefault="00AD5F86" w:rsidP="00AD5F86">
      <w:pPr>
        <w:tabs>
          <w:tab w:val="left" w:pos="-720"/>
        </w:tabs>
        <w:suppressAutoHyphens/>
        <w:jc w:val="both"/>
        <w:rPr>
          <w:rFonts w:asciiTheme="minorHAnsi" w:hAnsiTheme="minorHAnsi" w:cstheme="minorHAnsi"/>
          <w:spacing w:val="-3"/>
        </w:rPr>
      </w:pPr>
    </w:p>
    <w:p w14:paraId="0E6F8F6F" w14:textId="77777777" w:rsidR="00AD5F86" w:rsidRDefault="00AD5F86" w:rsidP="00AD5F86">
      <w:pPr>
        <w:pStyle w:val="ListParagraph"/>
        <w:keepNext/>
        <w:numPr>
          <w:ilvl w:val="0"/>
          <w:numId w:val="1"/>
        </w:numPr>
        <w:tabs>
          <w:tab w:val="left" w:pos="1134"/>
          <w:tab w:val="left" w:pos="1440"/>
        </w:tabs>
        <w:suppressAutoHyphens/>
        <w:jc w:val="both"/>
        <w:outlineLvl w:val="1"/>
        <w:rPr>
          <w:rFonts w:asciiTheme="minorHAnsi" w:hAnsiTheme="minorHAnsi" w:cstheme="minorHAnsi"/>
        </w:rPr>
      </w:pPr>
      <w:r w:rsidRPr="0032253D">
        <w:rPr>
          <w:rFonts w:asciiTheme="minorHAnsi" w:hAnsiTheme="minorHAnsi" w:cstheme="minorHAnsi"/>
        </w:rPr>
        <w:t>All prices included by Tenderers in their Tender must be al</w:t>
      </w:r>
      <w:r>
        <w:rPr>
          <w:rFonts w:asciiTheme="minorHAnsi" w:hAnsiTheme="minorHAnsi" w:cstheme="minorHAnsi"/>
        </w:rPr>
        <w:t xml:space="preserve">l-inclusive </w:t>
      </w:r>
      <w:r w:rsidRPr="002B1C49">
        <w:rPr>
          <w:rFonts w:asciiTheme="minorHAnsi" w:hAnsiTheme="minorHAnsi" w:cstheme="minorHAnsi"/>
        </w:rPr>
        <w:t>(including all costs/expenses such as travel and subsistence)</w:t>
      </w:r>
      <w:r w:rsidRPr="0032253D">
        <w:rPr>
          <w:rFonts w:asciiTheme="minorHAnsi" w:hAnsiTheme="minorHAnsi" w:cstheme="minorHAnsi"/>
        </w:rPr>
        <w:t xml:space="preserve">, be expressed in Euro only and exclusive of VAT. The VAT rate(s) where applicable must be indicated separately.  </w:t>
      </w:r>
      <w:r>
        <w:rPr>
          <w:rFonts w:asciiTheme="minorHAnsi" w:hAnsiTheme="minorHAnsi" w:cstheme="minorHAnsi"/>
        </w:rPr>
        <w:t>Tenders are assessed on the VAT-exclusive figure.</w:t>
      </w:r>
    </w:p>
    <w:p w14:paraId="68DE584F" w14:textId="77777777" w:rsidR="00AD5F86" w:rsidRPr="00C84F3E" w:rsidRDefault="00AD5F86" w:rsidP="00AD5F86">
      <w:pPr>
        <w:pStyle w:val="ListParagraph"/>
        <w:keepNext/>
        <w:tabs>
          <w:tab w:val="left" w:pos="1134"/>
          <w:tab w:val="left" w:pos="1440"/>
        </w:tabs>
        <w:suppressAutoHyphens/>
        <w:jc w:val="both"/>
        <w:outlineLvl w:val="1"/>
        <w:rPr>
          <w:rFonts w:asciiTheme="minorHAnsi" w:hAnsiTheme="minorHAnsi" w:cstheme="minorHAnsi"/>
        </w:rPr>
      </w:pPr>
    </w:p>
    <w:p w14:paraId="34EEB760" w14:textId="77777777" w:rsidR="00AD5F86" w:rsidRPr="0032253D" w:rsidRDefault="00AD5F86" w:rsidP="00AD5F86">
      <w:pPr>
        <w:pStyle w:val="ListParagraph"/>
        <w:numPr>
          <w:ilvl w:val="0"/>
          <w:numId w:val="1"/>
        </w:numPr>
        <w:jc w:val="both"/>
        <w:rPr>
          <w:rFonts w:asciiTheme="minorHAnsi" w:hAnsiTheme="minorHAnsi" w:cstheme="minorHAnsi"/>
        </w:rPr>
      </w:pPr>
      <w:r w:rsidRPr="0032253D">
        <w:rPr>
          <w:rFonts w:asciiTheme="minorHAnsi" w:hAnsiTheme="minorHAnsi" w:cstheme="minorHAnsi"/>
        </w:rPr>
        <w:t xml:space="preserve">Any currency variations occurring over the </w:t>
      </w:r>
      <w:r>
        <w:rPr>
          <w:rFonts w:asciiTheme="minorHAnsi" w:hAnsiTheme="minorHAnsi" w:cstheme="minorHAnsi"/>
        </w:rPr>
        <w:t>T</w:t>
      </w:r>
      <w:r w:rsidRPr="0032253D">
        <w:rPr>
          <w:rFonts w:asciiTheme="minorHAnsi" w:hAnsiTheme="minorHAnsi" w:cstheme="minorHAnsi"/>
        </w:rPr>
        <w:t xml:space="preserve">erm of the </w:t>
      </w:r>
      <w:r>
        <w:rPr>
          <w:rFonts w:asciiTheme="minorHAnsi" w:hAnsiTheme="minorHAnsi" w:cstheme="minorHAnsi"/>
        </w:rPr>
        <w:t xml:space="preserve">Contract </w:t>
      </w:r>
      <w:r w:rsidRPr="0032253D">
        <w:rPr>
          <w:rFonts w:asciiTheme="minorHAnsi" w:hAnsiTheme="minorHAnsi" w:cstheme="minorHAnsi"/>
        </w:rPr>
        <w:t>shall be borne by the Tenderer.</w:t>
      </w:r>
    </w:p>
    <w:p w14:paraId="44FDAE33" w14:textId="77777777" w:rsidR="00AD5F86" w:rsidRPr="0032253D" w:rsidRDefault="00AD5F86" w:rsidP="00AD5F86">
      <w:pPr>
        <w:ind w:left="720" w:hanging="720"/>
        <w:jc w:val="both"/>
        <w:rPr>
          <w:rFonts w:asciiTheme="minorHAnsi" w:hAnsiTheme="minorHAnsi" w:cstheme="minorHAnsi"/>
        </w:rPr>
      </w:pPr>
    </w:p>
    <w:p w14:paraId="5310A993" w14:textId="77777777" w:rsidR="00AD5F86" w:rsidRPr="007E142C" w:rsidRDefault="00AD5F86" w:rsidP="00AD5F86">
      <w:pPr>
        <w:pStyle w:val="ListParagraph"/>
        <w:numPr>
          <w:ilvl w:val="0"/>
          <w:numId w:val="1"/>
        </w:numPr>
        <w:jc w:val="both"/>
        <w:rPr>
          <w:rFonts w:asciiTheme="minorHAnsi" w:hAnsiTheme="minorHAnsi" w:cstheme="minorHAnsi"/>
        </w:rPr>
      </w:pPr>
      <w:r w:rsidRPr="0032253D">
        <w:rPr>
          <w:rFonts w:asciiTheme="minorHAnsi" w:hAnsiTheme="minorHAnsi" w:cstheme="minorHAnsi"/>
        </w:rPr>
        <w:t xml:space="preserve">Payments for Services provided </w:t>
      </w:r>
      <w:r>
        <w:rPr>
          <w:rFonts w:asciiTheme="minorHAnsi" w:hAnsiTheme="minorHAnsi" w:cstheme="minorHAnsi"/>
        </w:rPr>
        <w:t xml:space="preserve">on foot of the Contract </w:t>
      </w:r>
      <w:r w:rsidRPr="0032253D">
        <w:rPr>
          <w:rFonts w:asciiTheme="minorHAnsi" w:hAnsiTheme="minorHAnsi" w:cstheme="minorHAnsi"/>
        </w:rPr>
        <w:t xml:space="preserve">shall be subject to and made in accordance with the </w:t>
      </w:r>
      <w:r>
        <w:rPr>
          <w:rFonts w:asciiTheme="minorHAnsi" w:hAnsiTheme="minorHAnsi" w:cstheme="minorHAnsi"/>
        </w:rPr>
        <w:t>Contract.</w:t>
      </w:r>
    </w:p>
    <w:p w14:paraId="41465E72" w14:textId="77777777" w:rsidR="00AD5F86" w:rsidRPr="0032253D" w:rsidRDefault="00AD5F86" w:rsidP="00AD5F86">
      <w:pPr>
        <w:pStyle w:val="ListParagraph"/>
        <w:jc w:val="both"/>
        <w:rPr>
          <w:rFonts w:asciiTheme="minorHAnsi" w:hAnsiTheme="minorHAnsi" w:cstheme="minorHAnsi"/>
          <w:highlight w:val="yellow"/>
        </w:rPr>
      </w:pPr>
    </w:p>
    <w:p w14:paraId="43A2006C" w14:textId="77777777" w:rsidR="00AD5F86" w:rsidRPr="0032253D" w:rsidRDefault="00AD5F86" w:rsidP="00AD5F86">
      <w:pPr>
        <w:pStyle w:val="ListParagraph"/>
        <w:numPr>
          <w:ilvl w:val="0"/>
          <w:numId w:val="1"/>
        </w:numPr>
        <w:jc w:val="both"/>
        <w:rPr>
          <w:rFonts w:asciiTheme="minorHAnsi" w:hAnsiTheme="minorHAnsi" w:cstheme="minorHAnsi"/>
        </w:rPr>
      </w:pPr>
      <w:r w:rsidRPr="0017593D">
        <w:rPr>
          <w:rFonts w:asciiTheme="minorHAnsi" w:hAnsiTheme="minorHAnsi" w:cstheme="minorHAnsi"/>
        </w:rPr>
        <w:t>The tendered amounts (the “Fees”) may be increased or decreased only on the third anniversary of the Effective Date of the Contract (as defined in the Contract) and then only by the percentage by which the Services Producer Price Index (SPPI) has increased or decreased in the edition of the Index published by the Central Statistics Office most recently prior to that anniversary.</w:t>
      </w:r>
    </w:p>
    <w:p w14:paraId="38F7143D" w14:textId="77777777" w:rsidR="00AD5F86" w:rsidRPr="0032253D" w:rsidRDefault="00AD5F86" w:rsidP="00AD5F86">
      <w:pPr>
        <w:jc w:val="both"/>
        <w:rPr>
          <w:rFonts w:asciiTheme="minorHAnsi" w:hAnsiTheme="minorHAnsi" w:cstheme="minorHAnsi"/>
        </w:rPr>
      </w:pPr>
    </w:p>
    <w:p w14:paraId="79D03C4D" w14:textId="77777777" w:rsidR="00AD5F86" w:rsidRPr="00C84F3E" w:rsidRDefault="00AD5F86" w:rsidP="00AD5F86">
      <w:pPr>
        <w:pStyle w:val="ListParagraph"/>
        <w:keepNext/>
        <w:numPr>
          <w:ilvl w:val="0"/>
          <w:numId w:val="1"/>
        </w:numPr>
        <w:tabs>
          <w:tab w:val="left" w:pos="1134"/>
          <w:tab w:val="left" w:pos="1440"/>
        </w:tabs>
        <w:suppressAutoHyphens/>
        <w:jc w:val="both"/>
        <w:outlineLvl w:val="1"/>
        <w:rPr>
          <w:rFonts w:asciiTheme="minorHAnsi" w:hAnsiTheme="minorHAnsi" w:cstheme="minorHAnsi"/>
        </w:rPr>
      </w:pPr>
      <w:r w:rsidRPr="0032253D">
        <w:rPr>
          <w:rFonts w:asciiTheme="minorHAnsi" w:hAnsiTheme="minorHAnsi" w:cstheme="minorHAnsi"/>
        </w:rPr>
        <w:t>Tenderers must complete all elements of this Pricing Schedule</w:t>
      </w:r>
      <w:r>
        <w:rPr>
          <w:rFonts w:asciiTheme="minorHAnsi" w:hAnsiTheme="minorHAnsi" w:cstheme="minorHAnsi"/>
        </w:rPr>
        <w:t>, with amounts being given in figures to two decimal places</w:t>
      </w:r>
      <w:r w:rsidRPr="0032253D">
        <w:rPr>
          <w:rFonts w:asciiTheme="minorHAnsi" w:hAnsiTheme="minorHAnsi" w:cstheme="minorHAnsi"/>
        </w:rPr>
        <w:t>.</w:t>
      </w:r>
      <w:r>
        <w:rPr>
          <w:rFonts w:asciiTheme="minorHAnsi" w:hAnsiTheme="minorHAnsi" w:cstheme="minorHAnsi"/>
        </w:rPr>
        <w:t xml:space="preserve"> Spaces must </w:t>
      </w:r>
      <w:r w:rsidRPr="00DB2201">
        <w:rPr>
          <w:rFonts w:asciiTheme="minorHAnsi" w:hAnsiTheme="minorHAnsi" w:cstheme="minorHAnsi"/>
          <w:b/>
        </w:rPr>
        <w:t>not</w:t>
      </w:r>
      <w:r>
        <w:rPr>
          <w:rFonts w:asciiTheme="minorHAnsi" w:hAnsiTheme="minorHAnsi" w:cstheme="minorHAnsi"/>
        </w:rPr>
        <w:t xml:space="preserve"> be left blank. The terms “included”, dashes, “NA”, or similar terms, must not be used – figures must be used at all times. </w:t>
      </w:r>
    </w:p>
    <w:p w14:paraId="44A65580" w14:textId="77777777" w:rsidR="00AD5F86" w:rsidRPr="0032253D" w:rsidRDefault="00AD5F86" w:rsidP="00AD5F86">
      <w:pPr>
        <w:pStyle w:val="ListParagraph"/>
        <w:jc w:val="both"/>
        <w:rPr>
          <w:rFonts w:asciiTheme="minorHAnsi" w:hAnsiTheme="minorHAnsi" w:cstheme="minorHAnsi"/>
        </w:rPr>
      </w:pPr>
    </w:p>
    <w:p w14:paraId="3C2AEF55" w14:textId="77777777" w:rsidR="00AD5F86" w:rsidRDefault="00AD5F86" w:rsidP="00AD5F86">
      <w:pPr>
        <w:pStyle w:val="ListParagraph"/>
        <w:numPr>
          <w:ilvl w:val="0"/>
          <w:numId w:val="1"/>
        </w:numPr>
        <w:jc w:val="both"/>
        <w:rPr>
          <w:rFonts w:asciiTheme="minorHAnsi" w:hAnsiTheme="minorHAnsi" w:cstheme="minorHAnsi"/>
        </w:rPr>
      </w:pPr>
      <w:r w:rsidRPr="0032253D">
        <w:rPr>
          <w:rFonts w:asciiTheme="minorHAnsi" w:hAnsiTheme="minorHAnsi" w:cstheme="minorHAnsi"/>
        </w:rPr>
        <w:t xml:space="preserve">The </w:t>
      </w:r>
      <w:r>
        <w:rPr>
          <w:rFonts w:asciiTheme="minorHAnsi" w:hAnsiTheme="minorHAnsi" w:cstheme="minorHAnsi"/>
        </w:rPr>
        <w:t>marks</w:t>
      </w:r>
      <w:r w:rsidRPr="0032253D">
        <w:rPr>
          <w:rFonts w:asciiTheme="minorHAnsi" w:hAnsiTheme="minorHAnsi" w:cstheme="minorHAnsi"/>
        </w:rPr>
        <w:t xml:space="preserve"> to be awarded under </w:t>
      </w:r>
      <w:r>
        <w:rPr>
          <w:rFonts w:asciiTheme="minorHAnsi" w:hAnsiTheme="minorHAnsi" w:cstheme="minorHAnsi"/>
        </w:rPr>
        <w:t>Price</w:t>
      </w:r>
      <w:r w:rsidRPr="0032253D">
        <w:rPr>
          <w:rFonts w:asciiTheme="minorHAnsi" w:hAnsiTheme="minorHAnsi" w:cstheme="minorHAnsi"/>
        </w:rPr>
        <w:t xml:space="preserve"> in the award criteria in section 3.3</w:t>
      </w:r>
      <w:r>
        <w:rPr>
          <w:rFonts w:asciiTheme="minorHAnsi" w:hAnsiTheme="minorHAnsi" w:cstheme="minorHAnsi"/>
        </w:rPr>
        <w:t xml:space="preserve"> of the ITT</w:t>
      </w:r>
      <w:r w:rsidRPr="0032253D">
        <w:rPr>
          <w:rFonts w:asciiTheme="minorHAnsi" w:hAnsiTheme="minorHAnsi" w:cstheme="minorHAnsi"/>
        </w:rPr>
        <w:t xml:space="preserve"> will be determined </w:t>
      </w:r>
      <w:r>
        <w:rPr>
          <w:rFonts w:asciiTheme="minorHAnsi" w:hAnsiTheme="minorHAnsi" w:cstheme="minorHAnsi"/>
        </w:rPr>
        <w:t>on the basis of the following formula</w:t>
      </w:r>
      <w:r w:rsidRPr="0032253D">
        <w:rPr>
          <w:rFonts w:asciiTheme="minorHAnsi" w:hAnsiTheme="minorHAnsi" w:cstheme="minorHAnsi"/>
        </w:rPr>
        <w:t>:</w:t>
      </w:r>
    </w:p>
    <w:p w14:paraId="562C75EE" w14:textId="77777777" w:rsidR="00AD5F86" w:rsidRDefault="00AD5F86" w:rsidP="00AD5F86">
      <w:pPr>
        <w:jc w:val="both"/>
        <w:rPr>
          <w:rFonts w:asciiTheme="minorHAnsi" w:hAnsiTheme="minorHAnsi" w:cstheme="minorHAnsi"/>
        </w:rPr>
      </w:pPr>
    </w:p>
    <w:tbl>
      <w:tblPr>
        <w:tblStyle w:val="TableGrid"/>
        <w:tblW w:w="0" w:type="auto"/>
        <w:tblInd w:w="704" w:type="dxa"/>
        <w:tblLook w:val="04A0" w:firstRow="1" w:lastRow="0" w:firstColumn="1" w:lastColumn="0" w:noHBand="0" w:noVBand="1"/>
      </w:tblPr>
      <w:tblGrid>
        <w:gridCol w:w="1843"/>
        <w:gridCol w:w="3234"/>
        <w:gridCol w:w="3235"/>
      </w:tblGrid>
      <w:tr w:rsidR="00AD5F86" w14:paraId="6488DE10" w14:textId="77777777" w:rsidTr="000A17A0">
        <w:tc>
          <w:tcPr>
            <w:tcW w:w="1843" w:type="dxa"/>
            <w:vMerge w:val="restart"/>
            <w:tcBorders>
              <w:top w:val="nil"/>
              <w:left w:val="nil"/>
              <w:bottom w:val="nil"/>
              <w:right w:val="nil"/>
            </w:tcBorders>
          </w:tcPr>
          <w:p w14:paraId="02B51471" w14:textId="77777777" w:rsidR="00AD5F86" w:rsidRDefault="00AD5F86" w:rsidP="000A17A0">
            <w:pPr>
              <w:rPr>
                <w:rFonts w:cstheme="minorHAnsi"/>
              </w:rPr>
            </w:pPr>
            <w:r w:rsidRPr="008A71EF">
              <w:rPr>
                <w:rFonts w:cstheme="minorHAnsi"/>
              </w:rPr>
              <w:t>Marks scored</w:t>
            </w:r>
            <w:r>
              <w:rPr>
                <w:rFonts w:cstheme="minorHAnsi"/>
              </w:rPr>
              <w:t xml:space="preserve"> = </w:t>
            </w:r>
          </w:p>
        </w:tc>
        <w:tc>
          <w:tcPr>
            <w:tcW w:w="3234" w:type="dxa"/>
            <w:tcBorders>
              <w:top w:val="nil"/>
              <w:left w:val="nil"/>
              <w:bottom w:val="single" w:sz="4" w:space="0" w:color="auto"/>
              <w:right w:val="nil"/>
            </w:tcBorders>
          </w:tcPr>
          <w:p w14:paraId="77DDD285" w14:textId="77777777" w:rsidR="00AD5F86" w:rsidRDefault="00AD5F86" w:rsidP="000A17A0">
            <w:pPr>
              <w:jc w:val="center"/>
              <w:rPr>
                <w:rFonts w:cstheme="minorHAnsi"/>
              </w:rPr>
            </w:pPr>
            <w:r>
              <w:rPr>
                <w:rFonts w:cstheme="minorHAnsi"/>
              </w:rPr>
              <w:t>price</w:t>
            </w:r>
            <w:r w:rsidRPr="008A71EF">
              <w:rPr>
                <w:rFonts w:cstheme="minorHAnsi"/>
              </w:rPr>
              <w:t xml:space="preserve"> of lowest</w:t>
            </w:r>
            <w:r>
              <w:rPr>
                <w:rFonts w:cstheme="minorHAnsi"/>
              </w:rPr>
              <w:t xml:space="preserve"> non-eliminated </w:t>
            </w:r>
            <w:r w:rsidRPr="008A71EF">
              <w:rPr>
                <w:rFonts w:cstheme="minorHAnsi"/>
              </w:rPr>
              <w:t xml:space="preserve"> </w:t>
            </w:r>
            <w:r>
              <w:rPr>
                <w:rFonts w:cstheme="minorHAnsi"/>
              </w:rPr>
              <w:t>Tender</w:t>
            </w:r>
          </w:p>
        </w:tc>
        <w:tc>
          <w:tcPr>
            <w:tcW w:w="3235" w:type="dxa"/>
            <w:tcBorders>
              <w:top w:val="nil"/>
              <w:left w:val="nil"/>
              <w:bottom w:val="nil"/>
              <w:right w:val="nil"/>
            </w:tcBorders>
          </w:tcPr>
          <w:p w14:paraId="13E21D40" w14:textId="77777777" w:rsidR="00AD5F86" w:rsidRDefault="00AD5F86" w:rsidP="000A17A0">
            <w:pPr>
              <w:rPr>
                <w:rFonts w:cstheme="minorHAnsi"/>
              </w:rPr>
            </w:pPr>
            <w:r>
              <w:rPr>
                <w:rFonts w:cstheme="minorHAnsi"/>
                <w:noProof/>
                <w:lang w:val="en-IE" w:eastAsia="en-IE"/>
              </w:rPr>
              <mc:AlternateContent>
                <mc:Choice Requires="wps">
                  <w:drawing>
                    <wp:anchor distT="0" distB="0" distL="114300" distR="114300" simplePos="0" relativeHeight="251659264" behindDoc="0" locked="0" layoutInCell="1" allowOverlap="1" wp14:anchorId="583E2418" wp14:editId="62FBA341">
                      <wp:simplePos x="0" y="0"/>
                      <wp:positionH relativeFrom="column">
                        <wp:posOffset>-2140880</wp:posOffset>
                      </wp:positionH>
                      <wp:positionV relativeFrom="paragraph">
                        <wp:posOffset>-182983</wp:posOffset>
                      </wp:positionV>
                      <wp:extent cx="2104846" cy="954156"/>
                      <wp:effectExtent l="0" t="0" r="10160" b="17780"/>
                      <wp:wrapNone/>
                      <wp:docPr id="8" name="Double Bracket 8"/>
                      <wp:cNvGraphicFramePr/>
                      <a:graphic xmlns:a="http://schemas.openxmlformats.org/drawingml/2006/main">
                        <a:graphicData uri="http://schemas.microsoft.com/office/word/2010/wordprocessingShape">
                          <wps:wsp>
                            <wps:cNvSpPr/>
                            <wps:spPr>
                              <a:xfrm>
                                <a:off x="0" y="0"/>
                                <a:ext cx="2104846" cy="954156"/>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AC5B4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8" o:spid="_x0000_s1026" type="#_x0000_t185" style="position:absolute;margin-left:-168.55pt;margin-top:-14.4pt;width:165.75pt;height:7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" strokecolor="#5b9bd5 [3204]" strokeweight=".5pt">
                      <v:stroke joinstyle="miter"/>
                    </v:shape>
                  </w:pict>
                </mc:Fallback>
              </mc:AlternateContent>
            </w:r>
            <w:r>
              <w:rPr>
                <w:rFonts w:cstheme="minorHAnsi"/>
              </w:rPr>
              <w:t xml:space="preserve">  x marks available for Price</w:t>
            </w:r>
          </w:p>
        </w:tc>
      </w:tr>
      <w:tr w:rsidR="00AD5F86" w14:paraId="182FF858" w14:textId="77777777" w:rsidTr="000A17A0">
        <w:tc>
          <w:tcPr>
            <w:tcW w:w="1843" w:type="dxa"/>
            <w:vMerge/>
            <w:tcBorders>
              <w:top w:val="nil"/>
              <w:left w:val="nil"/>
              <w:bottom w:val="nil"/>
              <w:right w:val="nil"/>
            </w:tcBorders>
          </w:tcPr>
          <w:p w14:paraId="71BC0664" w14:textId="77777777" w:rsidR="00AD5F86" w:rsidRDefault="00AD5F86" w:rsidP="000A17A0">
            <w:pPr>
              <w:rPr>
                <w:rFonts w:cstheme="minorHAnsi"/>
              </w:rPr>
            </w:pPr>
          </w:p>
        </w:tc>
        <w:tc>
          <w:tcPr>
            <w:tcW w:w="3234" w:type="dxa"/>
            <w:tcBorders>
              <w:top w:val="single" w:sz="4" w:space="0" w:color="auto"/>
              <w:left w:val="nil"/>
              <w:bottom w:val="nil"/>
              <w:right w:val="nil"/>
            </w:tcBorders>
          </w:tcPr>
          <w:p w14:paraId="554E30D3" w14:textId="77777777" w:rsidR="00AD5F86" w:rsidRDefault="00AD5F86" w:rsidP="000A17A0">
            <w:pPr>
              <w:jc w:val="center"/>
              <w:rPr>
                <w:rFonts w:cstheme="minorHAnsi"/>
              </w:rPr>
            </w:pPr>
            <w:r>
              <w:rPr>
                <w:rFonts w:cstheme="minorHAnsi"/>
              </w:rPr>
              <w:t>price of Tender being evaluated</w:t>
            </w:r>
          </w:p>
        </w:tc>
        <w:tc>
          <w:tcPr>
            <w:tcW w:w="3235" w:type="dxa"/>
            <w:tcBorders>
              <w:top w:val="nil"/>
              <w:left w:val="nil"/>
              <w:bottom w:val="nil"/>
              <w:right w:val="nil"/>
            </w:tcBorders>
          </w:tcPr>
          <w:p w14:paraId="33B3EA4A" w14:textId="77777777" w:rsidR="00AD5F86" w:rsidRDefault="00AD5F86" w:rsidP="000A17A0">
            <w:pPr>
              <w:rPr>
                <w:rFonts w:cstheme="minorHAnsi"/>
              </w:rPr>
            </w:pPr>
          </w:p>
        </w:tc>
      </w:tr>
    </w:tbl>
    <w:p w14:paraId="03570B2F" w14:textId="77777777" w:rsidR="00AD5F86" w:rsidRDefault="00AD5F86" w:rsidP="00AD5F86">
      <w:pPr>
        <w:jc w:val="both"/>
        <w:rPr>
          <w:rFonts w:asciiTheme="minorHAnsi" w:hAnsiTheme="minorHAnsi" w:cstheme="minorHAnsi"/>
        </w:rPr>
      </w:pPr>
    </w:p>
    <w:p w14:paraId="3D54BAEE" w14:textId="77777777" w:rsidR="00AD5F86" w:rsidRDefault="00AD5F86" w:rsidP="00AD5F86">
      <w:pPr>
        <w:ind w:left="720"/>
        <w:jc w:val="both"/>
        <w:rPr>
          <w:rFonts w:asciiTheme="minorHAnsi" w:hAnsiTheme="minorHAnsi" w:cstheme="minorHAnsi"/>
        </w:rPr>
      </w:pPr>
      <w:r w:rsidRPr="008A71EF">
        <w:rPr>
          <w:rFonts w:asciiTheme="minorHAnsi" w:hAnsiTheme="minorHAnsi" w:cstheme="minorHAnsi"/>
        </w:rPr>
        <w:t xml:space="preserve">The Tender with the lowest </w:t>
      </w:r>
      <w:r>
        <w:rPr>
          <w:rFonts w:asciiTheme="minorHAnsi" w:hAnsiTheme="minorHAnsi" w:cstheme="minorHAnsi"/>
        </w:rPr>
        <w:t>price</w:t>
      </w:r>
      <w:r w:rsidRPr="008A71EF">
        <w:rPr>
          <w:rFonts w:asciiTheme="minorHAnsi" w:hAnsiTheme="minorHAnsi" w:cstheme="minorHAnsi"/>
        </w:rPr>
        <w:t xml:space="preserve"> (which has not otherwise been eliminated in accordance with this ITT) will receive the maximum score achi</w:t>
      </w:r>
      <w:r>
        <w:rPr>
          <w:rFonts w:asciiTheme="minorHAnsi" w:hAnsiTheme="minorHAnsi" w:cstheme="minorHAnsi"/>
        </w:rPr>
        <w:t xml:space="preserve">evable under the Price criterion, as the expression in brackets will equal 1. </w:t>
      </w:r>
    </w:p>
    <w:p w14:paraId="7694006B" w14:textId="77777777" w:rsidR="00AD5F86" w:rsidRDefault="00AD5F86" w:rsidP="00AD5F86">
      <w:pPr>
        <w:ind w:left="720"/>
        <w:rPr>
          <w:rFonts w:asciiTheme="minorHAnsi" w:hAnsiTheme="minorHAnsi" w:cstheme="minorHAnsi"/>
        </w:rPr>
      </w:pPr>
    </w:p>
    <w:p w14:paraId="26E0FF69" w14:textId="77777777" w:rsidR="00AD5F86" w:rsidRDefault="00AD5F86" w:rsidP="00AD5F86">
      <w:pPr>
        <w:ind w:left="720"/>
        <w:rPr>
          <w:rFonts w:asciiTheme="minorHAnsi" w:hAnsiTheme="minorHAnsi" w:cstheme="minorHAnsi"/>
        </w:rPr>
      </w:pPr>
      <w:r>
        <w:rPr>
          <w:rFonts w:asciiTheme="minorHAnsi" w:hAnsiTheme="minorHAnsi" w:cstheme="minorHAnsi"/>
        </w:rPr>
        <w:t>Marks awarded will be rounded to two decimal places in accordance with standard rounding rules.</w:t>
      </w:r>
    </w:p>
    <w:p w14:paraId="20B32069" w14:textId="77777777" w:rsidR="00AD5F86" w:rsidRDefault="00AD5F86" w:rsidP="00AD5F86">
      <w:pPr>
        <w:rPr>
          <w:rFonts w:asciiTheme="minorHAnsi" w:hAnsiTheme="minorHAnsi" w:cstheme="minorHAnsi"/>
        </w:rPr>
      </w:pPr>
    </w:p>
    <w:p w14:paraId="12EF17A4" w14:textId="77777777" w:rsidR="00AD5F86" w:rsidRDefault="00AD5F86" w:rsidP="00AD5F86">
      <w:pPr>
        <w:pStyle w:val="ListParagraph"/>
        <w:numPr>
          <w:ilvl w:val="0"/>
          <w:numId w:val="1"/>
        </w:numPr>
        <w:jc w:val="both"/>
        <w:rPr>
          <w:rFonts w:asciiTheme="minorHAnsi" w:hAnsiTheme="minorHAnsi" w:cstheme="minorHAnsi"/>
        </w:rPr>
      </w:pPr>
      <w:r>
        <w:rPr>
          <w:rFonts w:asciiTheme="minorHAnsi" w:hAnsiTheme="minorHAnsi" w:cstheme="minorHAnsi"/>
        </w:rPr>
        <w:t>For the purposes of the formula, the “price” of the Tender is determined as follows:</w:t>
      </w:r>
    </w:p>
    <w:p w14:paraId="796AAA98" w14:textId="77777777" w:rsidR="00AD5F86" w:rsidRDefault="00AD5F86" w:rsidP="00AD5F86">
      <w:pPr>
        <w:jc w:val="both"/>
        <w:rPr>
          <w:rFonts w:asciiTheme="minorHAnsi" w:hAnsiTheme="minorHAnsi" w:cstheme="minorHAnsi"/>
        </w:rPr>
      </w:pPr>
    </w:p>
    <w:p w14:paraId="0C1F7605" w14:textId="77777777" w:rsidR="00AD5F86" w:rsidRPr="0094743E" w:rsidRDefault="00AD5F86" w:rsidP="00AD5F86">
      <w:pPr>
        <w:ind w:left="720"/>
        <w:contextualSpacing/>
        <w:rPr>
          <w:rFonts w:ascii="Calibri" w:hAnsi="Calibri" w:cs="Calibri"/>
        </w:rPr>
      </w:pPr>
      <w:r w:rsidRPr="0094743E">
        <w:rPr>
          <w:rFonts w:ascii="Calibri" w:hAnsi="Calibri" w:cs="Calibri"/>
        </w:rPr>
        <w:t>The marks to be awarded for the hourly rates</w:t>
      </w:r>
      <w:r>
        <w:rPr>
          <w:rFonts w:ascii="Calibri" w:hAnsi="Calibri" w:cs="Calibri"/>
        </w:rPr>
        <w:t xml:space="preserve"> outlined in Table 3.1 – Hourly Rates</w:t>
      </w:r>
      <w:r w:rsidRPr="0094743E">
        <w:rPr>
          <w:rFonts w:ascii="Calibri" w:hAnsi="Calibri" w:cs="Calibri"/>
        </w:rPr>
        <w:t xml:space="preserve"> </w:t>
      </w:r>
      <w:r w:rsidRPr="0094743E">
        <w:rPr>
          <w:rFonts w:ascii="Calibri" w:hAnsi="Calibri" w:cs="Calibri"/>
          <w:b/>
        </w:rPr>
        <w:t>(</w:t>
      </w:r>
      <w:r>
        <w:rPr>
          <w:rFonts w:ascii="Calibri" w:hAnsi="Calibri" w:cs="Calibri"/>
          <w:b/>
        </w:rPr>
        <w:t>100</w:t>
      </w:r>
      <w:r w:rsidRPr="0094743E">
        <w:rPr>
          <w:rFonts w:ascii="Calibri" w:hAnsi="Calibri" w:cs="Calibri"/>
          <w:b/>
        </w:rPr>
        <w:t xml:space="preserve"> of 1,000 marks)</w:t>
      </w:r>
      <w:r w:rsidRPr="0094743E">
        <w:rPr>
          <w:rFonts w:ascii="Calibri" w:hAnsi="Calibri" w:cs="Calibri"/>
        </w:rPr>
        <w:t xml:space="preserve"> will be determined as follows:</w:t>
      </w:r>
    </w:p>
    <w:p w14:paraId="2DFF4767" w14:textId="77777777" w:rsidR="00AD5F86" w:rsidRPr="0094743E" w:rsidRDefault="00AD5F86" w:rsidP="00AD5F86">
      <w:pPr>
        <w:rPr>
          <w:rFonts w:ascii="Calibri" w:hAnsi="Calibri" w:cs="Calibri"/>
        </w:rPr>
      </w:pPr>
    </w:p>
    <w:p w14:paraId="35630CFD" w14:textId="77777777" w:rsidR="00AD5F86" w:rsidRPr="0094743E" w:rsidRDefault="00AD5F86" w:rsidP="00AD5F86">
      <w:pPr>
        <w:ind w:left="720"/>
        <w:jc w:val="both"/>
        <w:rPr>
          <w:rFonts w:ascii="Calibri" w:hAnsi="Calibri" w:cs="Calibri"/>
        </w:rPr>
      </w:pPr>
      <w:r w:rsidRPr="0094743E">
        <w:rPr>
          <w:rFonts w:ascii="Calibri" w:hAnsi="Calibri" w:cs="Calibri"/>
        </w:rPr>
        <w:t xml:space="preserve">For each Tenderer, the hourly rate submitted for each grade of staff in </w:t>
      </w:r>
      <w:r w:rsidRPr="0094743E">
        <w:rPr>
          <w:rFonts w:ascii="Calibri" w:hAnsi="Calibri" w:cs="Calibri"/>
          <w:b/>
        </w:rPr>
        <w:t xml:space="preserve">Table </w:t>
      </w:r>
      <w:r>
        <w:rPr>
          <w:rFonts w:ascii="Calibri" w:hAnsi="Calibri" w:cs="Calibri"/>
          <w:b/>
        </w:rPr>
        <w:t xml:space="preserve">3.1 – Hourly Rates </w:t>
      </w:r>
      <w:r w:rsidRPr="0094743E">
        <w:rPr>
          <w:rFonts w:ascii="Calibri" w:hAnsi="Calibri" w:cs="Calibri"/>
        </w:rPr>
        <w:t xml:space="preserve"> below will be multiplied by the notional hours identified for that grade of staff, producing a notional total fee for that grade. The total fee sums thus identified will be added together to produce a total notional fee for evaluation purposes.  Marks will then be awarded for the </w:t>
      </w:r>
      <w:r>
        <w:rPr>
          <w:rFonts w:ascii="Calibri" w:hAnsi="Calibri" w:cs="Calibri"/>
        </w:rPr>
        <w:t xml:space="preserve">total </w:t>
      </w:r>
      <w:r w:rsidRPr="0094743E">
        <w:rPr>
          <w:rFonts w:ascii="Calibri" w:hAnsi="Calibri" w:cs="Calibri"/>
        </w:rPr>
        <w:t>notional fee using the following formula:</w:t>
      </w:r>
    </w:p>
    <w:p w14:paraId="33F62632" w14:textId="77777777" w:rsidR="00AD5F86" w:rsidRPr="0094743E" w:rsidRDefault="00AD5F86" w:rsidP="00AD5F86">
      <w:pPr>
        <w:ind w:left="720"/>
        <w:jc w:val="both"/>
        <w:rPr>
          <w:rFonts w:ascii="Calibri" w:hAnsi="Calibri" w:cs="Calibri"/>
        </w:rPr>
      </w:pPr>
    </w:p>
    <w:p w14:paraId="05240F4E" w14:textId="77777777" w:rsidR="00AD5F86" w:rsidRPr="0094743E" w:rsidRDefault="00AD5F86" w:rsidP="00AD5F86">
      <w:pPr>
        <w:rPr>
          <w:rFonts w:asciiTheme="minorHAnsi" w:hAnsiTheme="minorHAnsi" w:cstheme="minorHAnsi"/>
        </w:rPr>
      </w:pPr>
    </w:p>
    <w:tbl>
      <w:tblPr>
        <w:tblStyle w:val="TableGrid"/>
        <w:tblW w:w="0" w:type="auto"/>
        <w:tblInd w:w="704" w:type="dxa"/>
        <w:tblLook w:val="04A0" w:firstRow="1" w:lastRow="0" w:firstColumn="1" w:lastColumn="0" w:noHBand="0" w:noVBand="1"/>
      </w:tblPr>
      <w:tblGrid>
        <w:gridCol w:w="1846"/>
        <w:gridCol w:w="3238"/>
        <w:gridCol w:w="3238"/>
      </w:tblGrid>
      <w:tr w:rsidR="00AD5F86" w:rsidRPr="0094743E" w14:paraId="5E62D3B5" w14:textId="77777777" w:rsidTr="000A17A0">
        <w:trPr>
          <w:trHeight w:val="594"/>
        </w:trPr>
        <w:tc>
          <w:tcPr>
            <w:tcW w:w="1856" w:type="dxa"/>
            <w:vMerge w:val="restart"/>
            <w:tcBorders>
              <w:top w:val="nil"/>
              <w:left w:val="nil"/>
              <w:bottom w:val="nil"/>
              <w:right w:val="nil"/>
            </w:tcBorders>
            <w:hideMark/>
          </w:tcPr>
          <w:p w14:paraId="536BCD38" w14:textId="77777777" w:rsidR="00AD5F86" w:rsidRPr="0094743E" w:rsidRDefault="00AD5F86" w:rsidP="000A17A0">
            <w:pPr>
              <w:jc w:val="center"/>
              <w:rPr>
                <w:rFonts w:cstheme="minorHAnsi"/>
                <w:b/>
              </w:rPr>
            </w:pPr>
            <w:r w:rsidRPr="0094743E">
              <w:rPr>
                <w:rFonts w:cstheme="minorHAnsi"/>
                <w:b/>
              </w:rPr>
              <w:t>Marks scored =</w:t>
            </w:r>
          </w:p>
        </w:tc>
        <w:tc>
          <w:tcPr>
            <w:tcW w:w="3258" w:type="dxa"/>
            <w:tcBorders>
              <w:top w:val="nil"/>
              <w:left w:val="nil"/>
              <w:bottom w:val="single" w:sz="4" w:space="0" w:color="auto"/>
              <w:right w:val="nil"/>
            </w:tcBorders>
            <w:hideMark/>
          </w:tcPr>
          <w:p w14:paraId="69ACCBC9" w14:textId="77777777" w:rsidR="00AD5F86" w:rsidRPr="0094743E" w:rsidRDefault="00AD5F86" w:rsidP="000A17A0">
            <w:pPr>
              <w:jc w:val="center"/>
              <w:rPr>
                <w:rFonts w:cstheme="minorHAnsi"/>
                <w:b/>
              </w:rPr>
            </w:pPr>
            <w:r w:rsidRPr="0094743E">
              <w:rPr>
                <w:rFonts w:cstheme="minorHAnsi"/>
                <w:b/>
              </w:rPr>
              <w:t>Lowest Total</w:t>
            </w:r>
            <w:r>
              <w:rPr>
                <w:rFonts w:cstheme="minorHAnsi"/>
                <w:b/>
              </w:rPr>
              <w:t xml:space="preserve"> Notional</w:t>
            </w:r>
            <w:r w:rsidRPr="0094743E">
              <w:rPr>
                <w:rFonts w:cstheme="minorHAnsi"/>
                <w:b/>
              </w:rPr>
              <w:t xml:space="preserve"> Fee </w:t>
            </w:r>
            <w:r>
              <w:rPr>
                <w:rFonts w:cstheme="minorHAnsi"/>
                <w:b/>
              </w:rPr>
              <w:t xml:space="preserve">of </w:t>
            </w:r>
            <w:r w:rsidRPr="0094743E">
              <w:rPr>
                <w:rFonts w:cstheme="minorHAnsi"/>
                <w:b/>
              </w:rPr>
              <w:t>non-eliminated  Tender</w:t>
            </w:r>
          </w:p>
        </w:tc>
        <w:tc>
          <w:tcPr>
            <w:tcW w:w="3259" w:type="dxa"/>
            <w:tcBorders>
              <w:top w:val="nil"/>
              <w:left w:val="nil"/>
              <w:bottom w:val="nil"/>
              <w:right w:val="nil"/>
            </w:tcBorders>
            <w:hideMark/>
          </w:tcPr>
          <w:p w14:paraId="2512D42F" w14:textId="77777777" w:rsidR="00AD5F86" w:rsidRPr="0094743E" w:rsidRDefault="00AD5F86" w:rsidP="000A17A0">
            <w:pPr>
              <w:jc w:val="center"/>
              <w:rPr>
                <w:rFonts w:cstheme="minorHAnsi"/>
                <w:b/>
              </w:rPr>
            </w:pPr>
            <w:r w:rsidRPr="0094743E">
              <w:rPr>
                <w:rFonts w:cstheme="minorHAnsi"/>
                <w:b/>
                <w:noProof/>
              </w:rPr>
              <mc:AlternateContent>
                <mc:Choice Requires="wps">
                  <w:drawing>
                    <wp:anchor distT="0" distB="0" distL="114300" distR="114300" simplePos="0" relativeHeight="251660288" behindDoc="0" locked="0" layoutInCell="1" allowOverlap="1" wp14:anchorId="6AB2DC16" wp14:editId="6AB23246">
                      <wp:simplePos x="0" y="0"/>
                      <wp:positionH relativeFrom="column">
                        <wp:posOffset>-2136775</wp:posOffset>
                      </wp:positionH>
                      <wp:positionV relativeFrom="paragraph">
                        <wp:posOffset>-178435</wp:posOffset>
                      </wp:positionV>
                      <wp:extent cx="2105025" cy="1257300"/>
                      <wp:effectExtent l="0" t="0" r="28575" b="19050"/>
                      <wp:wrapNone/>
                      <wp:docPr id="2" name="Double Bracket 1"/>
                      <wp:cNvGraphicFramePr/>
                      <a:graphic xmlns:a="http://schemas.openxmlformats.org/drawingml/2006/main">
                        <a:graphicData uri="http://schemas.microsoft.com/office/word/2010/wordprocessingShape">
                          <wps:wsp>
                            <wps:cNvSpPr/>
                            <wps:spPr>
                              <a:xfrm>
                                <a:off x="0" y="0"/>
                                <a:ext cx="2104390" cy="125730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C0C44" id="Double Bracket 1" o:spid="_x0000_s1026" type="#_x0000_t185" style="position:absolute;margin-left:-168.25pt;margin-top:-14.05pt;width:165.75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" strokecolor="#5b9bd5 [3204]" strokeweight=".5pt">
                      <v:stroke joinstyle="miter"/>
                    </v:shape>
                  </w:pict>
                </mc:Fallback>
              </mc:AlternateContent>
            </w:r>
            <w:r w:rsidRPr="0094743E">
              <w:rPr>
                <w:rFonts w:cstheme="minorHAnsi"/>
                <w:b/>
              </w:rPr>
              <w:t xml:space="preserve">x marks available for the Total </w:t>
            </w:r>
            <w:r>
              <w:rPr>
                <w:rFonts w:cstheme="minorHAnsi"/>
                <w:b/>
              </w:rPr>
              <w:t xml:space="preserve">Notional </w:t>
            </w:r>
            <w:r w:rsidRPr="0094743E">
              <w:rPr>
                <w:rFonts w:cstheme="minorHAnsi"/>
                <w:b/>
              </w:rPr>
              <w:t>Fee</w:t>
            </w:r>
          </w:p>
        </w:tc>
      </w:tr>
      <w:tr w:rsidR="00AD5F86" w:rsidRPr="0094743E" w14:paraId="293C8650" w14:textId="77777777" w:rsidTr="000A17A0">
        <w:trPr>
          <w:trHeight w:val="607"/>
        </w:trPr>
        <w:tc>
          <w:tcPr>
            <w:tcW w:w="0" w:type="auto"/>
            <w:vMerge/>
            <w:tcBorders>
              <w:top w:val="nil"/>
              <w:left w:val="nil"/>
              <w:bottom w:val="nil"/>
              <w:right w:val="nil"/>
            </w:tcBorders>
            <w:vAlign w:val="center"/>
            <w:hideMark/>
          </w:tcPr>
          <w:p w14:paraId="1060AF48" w14:textId="77777777" w:rsidR="00AD5F86" w:rsidRPr="0094743E" w:rsidRDefault="00AD5F86" w:rsidP="000A17A0">
            <w:pPr>
              <w:autoSpaceDE/>
              <w:autoSpaceDN/>
              <w:rPr>
                <w:rFonts w:cstheme="minorHAnsi"/>
                <w:b/>
              </w:rPr>
            </w:pPr>
          </w:p>
        </w:tc>
        <w:tc>
          <w:tcPr>
            <w:tcW w:w="3258" w:type="dxa"/>
            <w:tcBorders>
              <w:top w:val="single" w:sz="4" w:space="0" w:color="auto"/>
              <w:left w:val="nil"/>
              <w:bottom w:val="nil"/>
              <w:right w:val="nil"/>
            </w:tcBorders>
            <w:hideMark/>
          </w:tcPr>
          <w:p w14:paraId="68311F8A" w14:textId="77777777" w:rsidR="00AD5F86" w:rsidRPr="0094743E" w:rsidRDefault="00AD5F86" w:rsidP="000A17A0">
            <w:pPr>
              <w:jc w:val="center"/>
              <w:rPr>
                <w:rFonts w:cstheme="minorHAnsi"/>
                <w:b/>
              </w:rPr>
            </w:pPr>
            <w:r w:rsidRPr="0094743E">
              <w:rPr>
                <w:rFonts w:cstheme="minorHAnsi"/>
                <w:b/>
              </w:rPr>
              <w:t>Total</w:t>
            </w:r>
            <w:r>
              <w:rPr>
                <w:rFonts w:cstheme="minorHAnsi"/>
                <w:b/>
              </w:rPr>
              <w:t xml:space="preserve"> Notional</w:t>
            </w:r>
            <w:r w:rsidRPr="0094743E">
              <w:rPr>
                <w:rFonts w:cstheme="minorHAnsi"/>
                <w:b/>
              </w:rPr>
              <w:t xml:space="preserve"> Fee of Tender being evaluated</w:t>
            </w:r>
          </w:p>
        </w:tc>
        <w:tc>
          <w:tcPr>
            <w:tcW w:w="3259" w:type="dxa"/>
            <w:tcBorders>
              <w:top w:val="nil"/>
              <w:left w:val="nil"/>
              <w:bottom w:val="nil"/>
              <w:right w:val="nil"/>
            </w:tcBorders>
          </w:tcPr>
          <w:p w14:paraId="3F93EECA" w14:textId="77777777" w:rsidR="00AD5F86" w:rsidRPr="0094743E" w:rsidRDefault="00AD5F86" w:rsidP="000A17A0">
            <w:pPr>
              <w:rPr>
                <w:rFonts w:cstheme="minorHAnsi"/>
                <w:b/>
              </w:rPr>
            </w:pPr>
          </w:p>
        </w:tc>
      </w:tr>
    </w:tbl>
    <w:p w14:paraId="11F9771E" w14:textId="77777777" w:rsidR="00AD5F86" w:rsidRPr="0094743E" w:rsidRDefault="00AD5F86" w:rsidP="00AD5F86">
      <w:pPr>
        <w:rPr>
          <w:rFonts w:asciiTheme="minorHAnsi" w:hAnsiTheme="minorHAnsi" w:cstheme="minorHAnsi"/>
        </w:rPr>
      </w:pPr>
    </w:p>
    <w:p w14:paraId="2A5B7B63" w14:textId="77777777" w:rsidR="00AD5F86" w:rsidRPr="0094743E" w:rsidRDefault="00AD5F86" w:rsidP="00AD5F86">
      <w:pPr>
        <w:rPr>
          <w:rFonts w:asciiTheme="minorHAnsi" w:hAnsiTheme="minorHAnsi" w:cstheme="minorHAnsi"/>
        </w:rPr>
      </w:pPr>
    </w:p>
    <w:p w14:paraId="1299555E" w14:textId="77777777" w:rsidR="00AD5F86" w:rsidRPr="0094743E" w:rsidRDefault="00AD5F86" w:rsidP="00AD5F86">
      <w:pPr>
        <w:ind w:left="720"/>
        <w:jc w:val="both"/>
        <w:rPr>
          <w:rFonts w:asciiTheme="minorHAnsi" w:hAnsiTheme="minorHAnsi" w:cstheme="minorHAnsi"/>
        </w:rPr>
      </w:pPr>
      <w:r w:rsidRPr="0094743E">
        <w:rPr>
          <w:rFonts w:asciiTheme="minorHAnsi" w:hAnsiTheme="minorHAnsi" w:cstheme="minorHAnsi"/>
        </w:rPr>
        <w:t>The Tender with the lowest Total</w:t>
      </w:r>
      <w:r>
        <w:rPr>
          <w:rFonts w:asciiTheme="minorHAnsi" w:hAnsiTheme="minorHAnsi" w:cstheme="minorHAnsi"/>
        </w:rPr>
        <w:t xml:space="preserve"> Notional</w:t>
      </w:r>
      <w:r w:rsidRPr="0094743E">
        <w:rPr>
          <w:rFonts w:asciiTheme="minorHAnsi" w:hAnsiTheme="minorHAnsi" w:cstheme="minorHAnsi"/>
        </w:rPr>
        <w:t xml:space="preserve"> Fee (which has not otherwise been eliminated in accordance with this ITT) will receive the maximum score achievable for the Total</w:t>
      </w:r>
      <w:r>
        <w:rPr>
          <w:rFonts w:asciiTheme="minorHAnsi" w:hAnsiTheme="minorHAnsi" w:cstheme="minorHAnsi"/>
        </w:rPr>
        <w:t xml:space="preserve"> Notional</w:t>
      </w:r>
      <w:r w:rsidRPr="0094743E">
        <w:rPr>
          <w:rFonts w:asciiTheme="minorHAnsi" w:hAnsiTheme="minorHAnsi" w:cstheme="minorHAnsi"/>
        </w:rPr>
        <w:t xml:space="preserve"> Fee, as the expression in brackets will equal 1. </w:t>
      </w:r>
    </w:p>
    <w:p w14:paraId="1F6CA6CE" w14:textId="77777777" w:rsidR="00AD5F86" w:rsidRPr="0094743E" w:rsidRDefault="00AD5F86" w:rsidP="00AD5F86">
      <w:pPr>
        <w:ind w:left="720"/>
        <w:rPr>
          <w:rFonts w:asciiTheme="minorHAnsi" w:hAnsiTheme="minorHAnsi" w:cstheme="minorHAnsi"/>
        </w:rPr>
      </w:pPr>
    </w:p>
    <w:p w14:paraId="2647F465" w14:textId="77777777" w:rsidR="00AD5F86" w:rsidRPr="0094743E" w:rsidRDefault="00AD5F86" w:rsidP="00AD5F86">
      <w:pPr>
        <w:ind w:left="720"/>
        <w:rPr>
          <w:rFonts w:asciiTheme="minorHAnsi" w:hAnsiTheme="minorHAnsi" w:cstheme="minorHAnsi"/>
        </w:rPr>
      </w:pPr>
      <w:r w:rsidRPr="0094743E">
        <w:rPr>
          <w:rFonts w:asciiTheme="minorHAnsi" w:hAnsiTheme="minorHAnsi" w:cstheme="minorHAnsi"/>
        </w:rPr>
        <w:t>Marks awarded will be rounded to two decimal places in accordance with standard rounding rules.</w:t>
      </w:r>
    </w:p>
    <w:p w14:paraId="31778C14" w14:textId="77777777" w:rsidR="00AD5F86" w:rsidRPr="0094743E" w:rsidRDefault="00AD5F86" w:rsidP="00AD5F86">
      <w:pPr>
        <w:ind w:left="720"/>
        <w:rPr>
          <w:rFonts w:asciiTheme="minorHAnsi" w:hAnsiTheme="minorHAnsi" w:cstheme="minorHAnsi"/>
        </w:rPr>
      </w:pPr>
    </w:p>
    <w:p w14:paraId="52459662" w14:textId="77777777" w:rsidR="00AD5F86" w:rsidRPr="0094743E" w:rsidRDefault="00AD5F86" w:rsidP="00AD5F86">
      <w:pPr>
        <w:ind w:left="720"/>
        <w:jc w:val="both"/>
        <w:rPr>
          <w:rFonts w:asciiTheme="minorHAnsi" w:hAnsiTheme="minorHAnsi" w:cstheme="minorHAnsi"/>
        </w:rPr>
      </w:pPr>
      <w:r w:rsidRPr="0094743E">
        <w:rPr>
          <w:rFonts w:asciiTheme="minorHAnsi" w:hAnsiTheme="minorHAnsi" w:cstheme="minorHAnsi"/>
        </w:rPr>
        <w:t xml:space="preserve">Tenderers will note that the hours identified in </w:t>
      </w:r>
      <w:r w:rsidRPr="0094743E">
        <w:rPr>
          <w:rFonts w:asciiTheme="minorHAnsi" w:hAnsiTheme="minorHAnsi" w:cstheme="minorHAnsi"/>
          <w:b/>
        </w:rPr>
        <w:t xml:space="preserve">Table </w:t>
      </w:r>
      <w:r>
        <w:rPr>
          <w:rFonts w:asciiTheme="minorHAnsi" w:hAnsiTheme="minorHAnsi" w:cstheme="minorHAnsi"/>
          <w:b/>
        </w:rPr>
        <w:t>3.1 – Hourly Rates</w:t>
      </w:r>
      <w:r w:rsidRPr="0094743E">
        <w:rPr>
          <w:rFonts w:asciiTheme="minorHAnsi" w:hAnsiTheme="minorHAnsi" w:cstheme="minorHAnsi"/>
        </w:rPr>
        <w:t xml:space="preserve"> are purely notional for the purposes of evaluation only and do not indicate any expectation that the Central Bank has with regards to additional hours of work required. Tenders should not adjust the number of hours indicated in the table.</w:t>
      </w:r>
    </w:p>
    <w:p w14:paraId="52A71381" w14:textId="77777777" w:rsidR="00AD5F86" w:rsidRPr="0094743E" w:rsidRDefault="00AD5F86" w:rsidP="00AD5F86">
      <w:pPr>
        <w:ind w:left="720"/>
        <w:jc w:val="both"/>
        <w:rPr>
          <w:rFonts w:asciiTheme="minorHAnsi" w:hAnsiTheme="minorHAnsi" w:cstheme="minorHAnsi"/>
        </w:rPr>
      </w:pPr>
    </w:p>
    <w:p w14:paraId="6EA416E6" w14:textId="77777777" w:rsidR="00AD5F86" w:rsidRPr="0094743E" w:rsidRDefault="00AD5F86" w:rsidP="00AD5F86">
      <w:pPr>
        <w:ind w:left="720"/>
        <w:contextualSpacing/>
        <w:rPr>
          <w:rFonts w:asciiTheme="minorHAnsi" w:hAnsiTheme="minorHAnsi" w:cstheme="minorHAnsi"/>
        </w:rPr>
      </w:pPr>
      <w:r w:rsidRPr="0094743E">
        <w:rPr>
          <w:rFonts w:asciiTheme="minorHAnsi" w:hAnsiTheme="minorHAnsi" w:cstheme="minorHAnsi"/>
        </w:rPr>
        <w:t>The marks to be awarded for the</w:t>
      </w:r>
      <w:r>
        <w:rPr>
          <w:rFonts w:asciiTheme="minorHAnsi" w:eastAsia="Calibri" w:hAnsiTheme="minorHAnsi" w:cstheme="minorHAnsi"/>
          <w:lang w:eastAsia="en-US"/>
        </w:rPr>
        <w:t xml:space="preserve"> Service Elements </w:t>
      </w:r>
      <w:r w:rsidRPr="0094743E">
        <w:rPr>
          <w:rFonts w:asciiTheme="minorHAnsi" w:eastAsia="Calibri" w:hAnsiTheme="minorHAnsi" w:cstheme="minorHAnsi"/>
          <w:lang w:eastAsia="en-US"/>
        </w:rPr>
        <w:t xml:space="preserve"> in </w:t>
      </w:r>
      <w:r w:rsidRPr="0094743E">
        <w:rPr>
          <w:rFonts w:asciiTheme="minorHAnsi" w:eastAsia="Calibri" w:hAnsiTheme="minorHAnsi" w:cstheme="minorHAnsi"/>
          <w:b/>
          <w:u w:val="single"/>
          <w:lang w:eastAsia="en-US"/>
        </w:rPr>
        <w:t xml:space="preserve">Table </w:t>
      </w:r>
      <w:r>
        <w:rPr>
          <w:rFonts w:asciiTheme="minorHAnsi" w:eastAsia="Calibri" w:hAnsiTheme="minorHAnsi" w:cstheme="minorHAnsi"/>
          <w:b/>
          <w:u w:val="single"/>
          <w:lang w:eastAsia="en-US"/>
        </w:rPr>
        <w:t xml:space="preserve">3.2 </w:t>
      </w:r>
      <w:r w:rsidRPr="0094743E">
        <w:rPr>
          <w:rFonts w:asciiTheme="minorHAnsi" w:eastAsia="Calibri" w:hAnsiTheme="minorHAnsi" w:cstheme="minorHAnsi"/>
          <w:lang w:eastAsia="en-US"/>
        </w:rPr>
        <w:t xml:space="preserve"> below</w:t>
      </w:r>
      <w:r w:rsidRPr="0094743E">
        <w:rPr>
          <w:rFonts w:asciiTheme="minorHAnsi" w:hAnsiTheme="minorHAnsi" w:cstheme="minorHAnsi"/>
          <w:b/>
        </w:rPr>
        <w:t xml:space="preserve"> (</w:t>
      </w:r>
      <w:r>
        <w:rPr>
          <w:rFonts w:asciiTheme="minorHAnsi" w:hAnsiTheme="minorHAnsi" w:cstheme="minorHAnsi"/>
          <w:b/>
        </w:rPr>
        <w:t>300</w:t>
      </w:r>
      <w:r w:rsidRPr="0094743E">
        <w:rPr>
          <w:rFonts w:asciiTheme="minorHAnsi" w:hAnsiTheme="minorHAnsi" w:cstheme="minorHAnsi"/>
          <w:b/>
        </w:rPr>
        <w:t xml:space="preserve"> of 1,000 marks)</w:t>
      </w:r>
      <w:r w:rsidRPr="0094743E">
        <w:rPr>
          <w:rFonts w:asciiTheme="minorHAnsi" w:hAnsiTheme="minorHAnsi" w:cstheme="minorHAnsi"/>
        </w:rPr>
        <w:t xml:space="preserve"> will be determined as follows:</w:t>
      </w:r>
    </w:p>
    <w:p w14:paraId="280F69FF" w14:textId="77777777" w:rsidR="00AD5F86" w:rsidRPr="0094743E" w:rsidRDefault="00AD5F86" w:rsidP="00AD5F86">
      <w:pPr>
        <w:pStyle w:val="ListParagraph"/>
        <w:ind w:left="567"/>
        <w:rPr>
          <w:rFonts w:asciiTheme="minorHAnsi" w:hAnsiTheme="minorHAnsi" w:cstheme="minorHAnsi"/>
        </w:rPr>
      </w:pPr>
    </w:p>
    <w:p w14:paraId="7262199A" w14:textId="77777777" w:rsidR="00AD5F86" w:rsidRPr="0094743E" w:rsidRDefault="00AD5F86" w:rsidP="00AD5F86">
      <w:pPr>
        <w:pStyle w:val="ListParagraph"/>
        <w:ind w:left="567"/>
        <w:rPr>
          <w:rFonts w:asciiTheme="minorHAnsi" w:hAnsiTheme="minorHAnsi" w:cstheme="minorHAnsi"/>
        </w:rPr>
      </w:pPr>
    </w:p>
    <w:p w14:paraId="387D0B1A" w14:textId="77777777" w:rsidR="00AD5F86" w:rsidRPr="0094743E" w:rsidRDefault="00AD5F86" w:rsidP="00AD5F86">
      <w:pPr>
        <w:rPr>
          <w:rFonts w:asciiTheme="minorHAnsi" w:hAnsiTheme="minorHAnsi" w:cstheme="minorHAnsi"/>
        </w:rPr>
      </w:pPr>
    </w:p>
    <w:tbl>
      <w:tblPr>
        <w:tblStyle w:val="TableGrid"/>
        <w:tblW w:w="0" w:type="auto"/>
        <w:tblInd w:w="704" w:type="dxa"/>
        <w:tblLook w:val="04A0" w:firstRow="1" w:lastRow="0" w:firstColumn="1" w:lastColumn="0" w:noHBand="0" w:noVBand="1"/>
      </w:tblPr>
      <w:tblGrid>
        <w:gridCol w:w="1848"/>
        <w:gridCol w:w="3238"/>
        <w:gridCol w:w="3236"/>
      </w:tblGrid>
      <w:tr w:rsidR="00AD5F86" w:rsidRPr="0094743E" w14:paraId="0678762A" w14:textId="77777777" w:rsidTr="000A17A0">
        <w:trPr>
          <w:trHeight w:val="600"/>
        </w:trPr>
        <w:tc>
          <w:tcPr>
            <w:tcW w:w="1865" w:type="dxa"/>
            <w:vMerge w:val="restart"/>
            <w:tcBorders>
              <w:top w:val="nil"/>
              <w:left w:val="nil"/>
              <w:bottom w:val="nil"/>
              <w:right w:val="nil"/>
            </w:tcBorders>
            <w:hideMark/>
          </w:tcPr>
          <w:p w14:paraId="301FBC7D" w14:textId="77777777" w:rsidR="00AD5F86" w:rsidRPr="0094743E" w:rsidRDefault="00AD5F86" w:rsidP="000A17A0">
            <w:pPr>
              <w:jc w:val="center"/>
              <w:rPr>
                <w:rFonts w:cstheme="minorHAnsi"/>
                <w:b/>
              </w:rPr>
            </w:pPr>
            <w:r w:rsidRPr="0094743E">
              <w:rPr>
                <w:rFonts w:cstheme="minorHAnsi"/>
                <w:b/>
              </w:rPr>
              <w:t>Marks scored =</w:t>
            </w:r>
          </w:p>
        </w:tc>
        <w:tc>
          <w:tcPr>
            <w:tcW w:w="3272" w:type="dxa"/>
            <w:tcBorders>
              <w:top w:val="nil"/>
              <w:left w:val="nil"/>
              <w:bottom w:val="single" w:sz="4" w:space="0" w:color="auto"/>
              <w:right w:val="nil"/>
            </w:tcBorders>
            <w:hideMark/>
          </w:tcPr>
          <w:p w14:paraId="4C8ECB4B" w14:textId="77777777" w:rsidR="00AD5F86" w:rsidRPr="00486750" w:rsidRDefault="00AD5F86" w:rsidP="000A17A0">
            <w:pPr>
              <w:jc w:val="center"/>
              <w:rPr>
                <w:rFonts w:cstheme="minorHAnsi"/>
                <w:b/>
              </w:rPr>
            </w:pPr>
            <w:r w:rsidRPr="00486750">
              <w:rPr>
                <w:rFonts w:cstheme="minorHAnsi"/>
                <w:noProof/>
              </w:rPr>
              <mc:AlternateContent>
                <mc:Choice Requires="wps">
                  <w:drawing>
                    <wp:anchor distT="0" distB="0" distL="114300" distR="114300" simplePos="0" relativeHeight="251661312" behindDoc="0" locked="0" layoutInCell="1" allowOverlap="1" wp14:anchorId="513F920D" wp14:editId="0ED2E8C6">
                      <wp:simplePos x="0" y="0"/>
                      <wp:positionH relativeFrom="column">
                        <wp:posOffset>-89535</wp:posOffset>
                      </wp:positionH>
                      <wp:positionV relativeFrom="paragraph">
                        <wp:posOffset>-10160</wp:posOffset>
                      </wp:positionV>
                      <wp:extent cx="2104390" cy="1390650"/>
                      <wp:effectExtent l="0" t="0" r="10160" b="19050"/>
                      <wp:wrapNone/>
                      <wp:docPr id="1654543681" name="Double Bracket 2"/>
                      <wp:cNvGraphicFramePr/>
                      <a:graphic xmlns:a="http://schemas.openxmlformats.org/drawingml/2006/main">
                        <a:graphicData uri="http://schemas.microsoft.com/office/word/2010/wordprocessingShape">
                          <wps:wsp>
                            <wps:cNvSpPr/>
                            <wps:spPr>
                              <a:xfrm>
                                <a:off x="0" y="0"/>
                                <a:ext cx="2104390" cy="13906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43733" id="Double Bracket 2" o:spid="_x0000_s1026" type="#_x0000_t185" style="position:absolute;margin-left:-7.05pt;margin-top:-.8pt;width:165.7pt;height:1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" strokecolor="#5b9bd5 [3204]" strokeweight=".5pt">
                      <v:stroke joinstyle="miter"/>
                    </v:shape>
                  </w:pict>
                </mc:Fallback>
              </mc:AlternateContent>
            </w:r>
            <w:r w:rsidRPr="00486750">
              <w:rPr>
                <w:rFonts w:cstheme="minorHAnsi"/>
                <w:b/>
              </w:rPr>
              <w:t>Fixed Unit Price for each Service Element listed (1- 7) of lowest non-eliminated Tender</w:t>
            </w:r>
          </w:p>
        </w:tc>
        <w:tc>
          <w:tcPr>
            <w:tcW w:w="3273" w:type="dxa"/>
            <w:tcBorders>
              <w:top w:val="nil"/>
              <w:left w:val="nil"/>
              <w:bottom w:val="nil"/>
              <w:right w:val="nil"/>
            </w:tcBorders>
            <w:hideMark/>
          </w:tcPr>
          <w:p w14:paraId="1D19EBD1" w14:textId="77777777" w:rsidR="00AD5F86" w:rsidRPr="00486750" w:rsidRDefault="00AD5F86" w:rsidP="000A17A0">
            <w:pPr>
              <w:jc w:val="center"/>
              <w:rPr>
                <w:rFonts w:cstheme="minorHAnsi"/>
                <w:b/>
              </w:rPr>
            </w:pPr>
            <w:r w:rsidRPr="00486750">
              <w:rPr>
                <w:rFonts w:cstheme="minorHAnsi"/>
                <w:b/>
              </w:rPr>
              <w:t>x marks available for each Service Element listed (1- 7)</w:t>
            </w:r>
          </w:p>
        </w:tc>
      </w:tr>
      <w:tr w:rsidR="00AD5F86" w14:paraId="644B1A3D" w14:textId="77777777" w:rsidTr="000A17A0">
        <w:trPr>
          <w:trHeight w:val="614"/>
        </w:trPr>
        <w:tc>
          <w:tcPr>
            <w:tcW w:w="0" w:type="auto"/>
            <w:vMerge/>
            <w:tcBorders>
              <w:top w:val="nil"/>
              <w:left w:val="nil"/>
              <w:bottom w:val="nil"/>
              <w:right w:val="nil"/>
            </w:tcBorders>
            <w:vAlign w:val="center"/>
            <w:hideMark/>
          </w:tcPr>
          <w:p w14:paraId="5659D670" w14:textId="77777777" w:rsidR="00AD5F86" w:rsidRPr="000A17A0" w:rsidRDefault="00AD5F86" w:rsidP="000A17A0">
            <w:pPr>
              <w:autoSpaceDE/>
              <w:autoSpaceDN/>
              <w:rPr>
                <w:rFonts w:asciiTheme="minorHAnsi" w:hAnsiTheme="minorHAnsi" w:cstheme="minorHAnsi"/>
                <w:b/>
              </w:rPr>
            </w:pPr>
          </w:p>
        </w:tc>
        <w:tc>
          <w:tcPr>
            <w:tcW w:w="3272" w:type="dxa"/>
            <w:tcBorders>
              <w:top w:val="single" w:sz="4" w:space="0" w:color="auto"/>
              <w:left w:val="nil"/>
              <w:bottom w:val="nil"/>
              <w:right w:val="nil"/>
            </w:tcBorders>
            <w:hideMark/>
          </w:tcPr>
          <w:p w14:paraId="4F8474D5" w14:textId="77777777" w:rsidR="00AD5F86" w:rsidRPr="00CF0131" w:rsidRDefault="00AD5F86" w:rsidP="000A17A0">
            <w:pPr>
              <w:jc w:val="center"/>
              <w:rPr>
                <w:rFonts w:cstheme="minorHAnsi"/>
                <w:b/>
              </w:rPr>
            </w:pPr>
            <w:r w:rsidRPr="00CF0131">
              <w:rPr>
                <w:rFonts w:cstheme="minorHAnsi"/>
                <w:b/>
              </w:rPr>
              <w:t xml:space="preserve">Fixed Unit Price for </w:t>
            </w:r>
            <w:r w:rsidRPr="00486750">
              <w:rPr>
                <w:rFonts w:cstheme="minorHAnsi"/>
                <w:b/>
              </w:rPr>
              <w:t>each o Service Element listed (1- 7)</w:t>
            </w:r>
            <w:r w:rsidRPr="00CF0131">
              <w:rPr>
                <w:rFonts w:cstheme="minorHAnsi"/>
                <w:b/>
              </w:rPr>
              <w:t xml:space="preserve"> of Tender being evaluated</w:t>
            </w:r>
          </w:p>
        </w:tc>
        <w:tc>
          <w:tcPr>
            <w:tcW w:w="3273" w:type="dxa"/>
            <w:tcBorders>
              <w:top w:val="nil"/>
              <w:left w:val="nil"/>
              <w:bottom w:val="nil"/>
              <w:right w:val="nil"/>
            </w:tcBorders>
          </w:tcPr>
          <w:p w14:paraId="2782E9AB" w14:textId="77777777" w:rsidR="00AD5F86" w:rsidRPr="00CF0131" w:rsidRDefault="00AD5F86" w:rsidP="000A17A0">
            <w:pPr>
              <w:rPr>
                <w:rFonts w:cstheme="minorHAnsi"/>
                <w:b/>
              </w:rPr>
            </w:pPr>
          </w:p>
        </w:tc>
      </w:tr>
    </w:tbl>
    <w:p w14:paraId="303A7D30" w14:textId="77777777" w:rsidR="00AD5F86" w:rsidRDefault="00AD5F86" w:rsidP="00AD5F86">
      <w:pPr>
        <w:rPr>
          <w:rFonts w:ascii="Lato" w:hAnsi="Lato" w:cstheme="minorHAnsi"/>
        </w:rPr>
      </w:pPr>
    </w:p>
    <w:p w14:paraId="4EE16AE9" w14:textId="77777777" w:rsidR="00AD5F86" w:rsidRPr="0094743E" w:rsidRDefault="00AD5F86" w:rsidP="00AD5F86">
      <w:pPr>
        <w:ind w:left="720"/>
        <w:jc w:val="both"/>
        <w:rPr>
          <w:rFonts w:asciiTheme="minorHAnsi" w:hAnsiTheme="minorHAnsi" w:cstheme="minorHAnsi"/>
        </w:rPr>
      </w:pPr>
      <w:r w:rsidRPr="0094743E">
        <w:rPr>
          <w:rFonts w:asciiTheme="minorHAnsi" w:hAnsiTheme="minorHAnsi" w:cstheme="minorHAnsi"/>
        </w:rPr>
        <w:t xml:space="preserve">The Tender with the lowest </w:t>
      </w:r>
      <w:r w:rsidRPr="0094743E">
        <w:rPr>
          <w:rFonts w:asciiTheme="minorHAnsi" w:hAnsiTheme="minorHAnsi" w:cstheme="minorHAnsi"/>
          <w:kern w:val="2"/>
        </w:rPr>
        <w:t xml:space="preserve">Fixed Unit Price for </w:t>
      </w:r>
      <w:r w:rsidRPr="00486750">
        <w:rPr>
          <w:rFonts w:asciiTheme="minorHAnsi" w:hAnsiTheme="minorHAnsi" w:cstheme="minorHAnsi"/>
          <w:kern w:val="2"/>
        </w:rPr>
        <w:t>each Service Element listed (1- 7)</w:t>
      </w:r>
      <w:r w:rsidRPr="0094743E">
        <w:rPr>
          <w:rFonts w:asciiTheme="minorHAnsi" w:hAnsiTheme="minorHAnsi" w:cstheme="minorHAnsi"/>
          <w:kern w:val="2"/>
        </w:rPr>
        <w:t xml:space="preserve"> </w:t>
      </w:r>
      <w:r w:rsidRPr="0094743E">
        <w:rPr>
          <w:rFonts w:asciiTheme="minorHAnsi" w:hAnsiTheme="minorHAnsi" w:cstheme="minorHAnsi"/>
        </w:rPr>
        <w:t xml:space="preserve">(which has not otherwise been eliminated in accordance with this ITT) will receive the maximum score achievable for </w:t>
      </w:r>
      <w:r>
        <w:rPr>
          <w:rFonts w:asciiTheme="minorHAnsi" w:hAnsiTheme="minorHAnsi" w:cstheme="minorHAnsi"/>
        </w:rPr>
        <w:t>each of the Service Element listed (1-7)</w:t>
      </w:r>
      <w:r w:rsidRPr="0094743E">
        <w:rPr>
          <w:rFonts w:asciiTheme="minorHAnsi" w:hAnsiTheme="minorHAnsi" w:cstheme="minorHAnsi"/>
        </w:rPr>
        <w:t xml:space="preserve">, as the expression in brackets will equal 1. </w:t>
      </w:r>
    </w:p>
    <w:p w14:paraId="38CF49A2" w14:textId="77777777" w:rsidR="00AD5F86" w:rsidRPr="0094743E" w:rsidRDefault="00AD5F86" w:rsidP="00AD5F86">
      <w:pPr>
        <w:ind w:left="720"/>
        <w:rPr>
          <w:rFonts w:asciiTheme="minorHAnsi" w:hAnsiTheme="minorHAnsi" w:cstheme="minorHAnsi"/>
        </w:rPr>
      </w:pPr>
    </w:p>
    <w:p w14:paraId="03488F4B" w14:textId="77777777" w:rsidR="00AD5F86" w:rsidRPr="0094743E" w:rsidRDefault="00AD5F86" w:rsidP="00AD5F86">
      <w:pPr>
        <w:ind w:left="720"/>
        <w:jc w:val="both"/>
        <w:rPr>
          <w:rFonts w:asciiTheme="minorHAnsi" w:hAnsiTheme="minorHAnsi" w:cstheme="minorHAnsi"/>
        </w:rPr>
      </w:pPr>
      <w:r w:rsidRPr="0094743E">
        <w:rPr>
          <w:rFonts w:asciiTheme="minorHAnsi" w:hAnsiTheme="minorHAnsi" w:cstheme="minorHAnsi"/>
        </w:rPr>
        <w:t>Marks awarded will be rounded to two decimal places in accordance with standard rounding rules.</w:t>
      </w:r>
    </w:p>
    <w:p w14:paraId="11ADCFA5" w14:textId="77777777" w:rsidR="00AD5F86" w:rsidRPr="0094743E" w:rsidRDefault="00AD5F86" w:rsidP="00AD5F86">
      <w:pPr>
        <w:ind w:left="720"/>
        <w:jc w:val="both"/>
        <w:rPr>
          <w:rFonts w:asciiTheme="minorHAnsi" w:hAnsiTheme="minorHAnsi" w:cstheme="minorHAnsi"/>
        </w:rPr>
      </w:pPr>
    </w:p>
    <w:p w14:paraId="5403A48A" w14:textId="77777777" w:rsidR="00AD5F86" w:rsidRPr="0094743E" w:rsidRDefault="00AD5F86" w:rsidP="00AD5F86">
      <w:pPr>
        <w:autoSpaceDE/>
        <w:adjustRightInd/>
        <w:spacing w:after="160" w:line="256" w:lineRule="auto"/>
        <w:ind w:left="709"/>
        <w:rPr>
          <w:rFonts w:asciiTheme="minorHAnsi" w:eastAsia="Calibri" w:hAnsiTheme="minorHAnsi" w:cstheme="minorHAnsi"/>
          <w:bCs/>
          <w:lang w:val="en-IE" w:eastAsia="en-US"/>
        </w:rPr>
      </w:pPr>
      <w:r w:rsidRPr="0094743E">
        <w:rPr>
          <w:rFonts w:asciiTheme="minorHAnsi" w:eastAsia="Calibri" w:hAnsiTheme="minorHAnsi" w:cstheme="minorHAnsi"/>
          <w:bCs/>
          <w:lang w:val="en-IE" w:eastAsia="en-US"/>
        </w:rPr>
        <w:lastRenderedPageBreak/>
        <w:t>Please complete all of the following table of costs:</w:t>
      </w:r>
    </w:p>
    <w:p w14:paraId="2ACC2A6F" w14:textId="77777777" w:rsidR="00AD5F86" w:rsidRPr="0094743E" w:rsidRDefault="00AD5F86" w:rsidP="00AD5F86">
      <w:pPr>
        <w:autoSpaceDE/>
        <w:adjustRightInd/>
        <w:spacing w:after="160" w:line="256" w:lineRule="auto"/>
        <w:ind w:left="567" w:firstLine="142"/>
        <w:rPr>
          <w:rFonts w:asciiTheme="minorHAnsi" w:hAnsiTheme="minorHAnsi" w:cstheme="minorHAnsi"/>
          <w:b/>
          <w:kern w:val="2"/>
        </w:rPr>
      </w:pPr>
      <w:r w:rsidRPr="0094743E">
        <w:rPr>
          <w:rFonts w:asciiTheme="minorHAnsi" w:eastAsia="Calibri" w:hAnsiTheme="minorHAnsi" w:cstheme="minorHAnsi"/>
          <w:b/>
          <w:bCs/>
          <w:lang w:val="en-IE" w:eastAsia="en-US"/>
        </w:rPr>
        <w:t xml:space="preserve">Table </w:t>
      </w:r>
      <w:r>
        <w:rPr>
          <w:rFonts w:asciiTheme="minorHAnsi" w:eastAsia="Calibri" w:hAnsiTheme="minorHAnsi" w:cstheme="minorHAnsi"/>
          <w:b/>
          <w:bCs/>
          <w:lang w:val="en-IE" w:eastAsia="en-US"/>
        </w:rPr>
        <w:t>3.1</w:t>
      </w:r>
      <w:r w:rsidRPr="0094743E">
        <w:rPr>
          <w:rFonts w:asciiTheme="minorHAnsi" w:eastAsia="Calibri" w:hAnsiTheme="minorHAnsi" w:cstheme="minorHAnsi"/>
          <w:b/>
          <w:bCs/>
          <w:lang w:val="en-IE" w:eastAsia="en-US"/>
        </w:rPr>
        <w:t xml:space="preserve"> – Hourly Rates</w:t>
      </w:r>
    </w:p>
    <w:p w14:paraId="7584B82B" w14:textId="77777777" w:rsidR="00AD5F86" w:rsidRPr="0094743E" w:rsidRDefault="00AD5F86" w:rsidP="00AD5F86">
      <w:pPr>
        <w:autoSpaceDE/>
        <w:adjustRightInd/>
        <w:spacing w:after="160" w:line="256" w:lineRule="auto"/>
        <w:ind w:left="709"/>
        <w:rPr>
          <w:rFonts w:asciiTheme="minorHAnsi" w:hAnsiTheme="minorHAnsi" w:cstheme="minorHAnsi"/>
        </w:rPr>
      </w:pPr>
      <w:r w:rsidRPr="0094743E">
        <w:rPr>
          <w:rFonts w:asciiTheme="minorHAnsi" w:hAnsiTheme="minorHAnsi" w:cstheme="minorHAnsi"/>
        </w:rPr>
        <w:t>Tenderers must insert their hourly rates in the table below.  Hourly rates must be free of caveats and exclusive of VAT.  Hourly rates should exclude third party legal disbursements and incidentals which shall be separately itemised in invoices.</w:t>
      </w:r>
    </w:p>
    <w:p w14:paraId="7F9A2D46" w14:textId="77777777" w:rsidR="00AD5F86" w:rsidRPr="0094743E" w:rsidRDefault="00AD5F86" w:rsidP="00AD5F86">
      <w:pPr>
        <w:autoSpaceDE/>
        <w:adjustRightInd/>
        <w:spacing w:after="160" w:line="256" w:lineRule="auto"/>
        <w:ind w:left="567" w:firstLine="142"/>
        <w:rPr>
          <w:rFonts w:asciiTheme="minorHAnsi" w:hAnsiTheme="minorHAnsi" w:cstheme="minorHAnsi"/>
        </w:rPr>
      </w:pPr>
      <w:r w:rsidRPr="0094743E">
        <w:rPr>
          <w:rFonts w:asciiTheme="minorHAnsi" w:hAnsiTheme="minorHAnsi" w:cstheme="minorHAnsi"/>
        </w:rPr>
        <w:t>Hourly rates are to be fixed and free from fluctuations for the term of the Contract.</w:t>
      </w:r>
    </w:p>
    <w:p w14:paraId="58C7C6BF" w14:textId="77777777" w:rsidR="00AD5F86" w:rsidRPr="0094743E" w:rsidRDefault="00AD5F86" w:rsidP="00AD5F86">
      <w:pPr>
        <w:autoSpaceDE/>
        <w:adjustRightInd/>
        <w:spacing w:after="160" w:line="256" w:lineRule="auto"/>
        <w:ind w:left="709"/>
        <w:rPr>
          <w:rFonts w:asciiTheme="minorHAnsi" w:hAnsiTheme="minorHAnsi" w:cstheme="minorHAnsi"/>
        </w:rPr>
      </w:pPr>
      <w:r w:rsidRPr="0094743E">
        <w:rPr>
          <w:rFonts w:asciiTheme="minorHAnsi" w:hAnsiTheme="minorHAnsi" w:cstheme="minorHAnsi"/>
        </w:rPr>
        <w:t>Hourly rates set out in the table below will be the maximum rates payable by the Central Bank for all Services carried out by the Tenderer (if any).  Tenderers must categorise legal staff within the specified categories only.</w:t>
      </w:r>
    </w:p>
    <w:p w14:paraId="03207205" w14:textId="77777777" w:rsidR="00AD5F86" w:rsidRPr="0094743E" w:rsidRDefault="00AD5F86" w:rsidP="00AD5F86">
      <w:pPr>
        <w:autoSpaceDE/>
        <w:adjustRightInd/>
        <w:spacing w:after="160" w:line="256" w:lineRule="auto"/>
        <w:ind w:left="567" w:firstLine="142"/>
        <w:rPr>
          <w:rFonts w:asciiTheme="minorHAnsi" w:hAnsiTheme="minorHAnsi" w:cstheme="minorHAnsi"/>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050"/>
        <w:gridCol w:w="1777"/>
        <w:gridCol w:w="2359"/>
      </w:tblGrid>
      <w:tr w:rsidR="00AD5F86" w:rsidRPr="0094743E" w14:paraId="645CFBAB" w14:textId="77777777" w:rsidTr="000A17A0">
        <w:trPr>
          <w:tblHeader/>
        </w:trPr>
        <w:tc>
          <w:tcPr>
            <w:tcW w:w="8314" w:type="dxa"/>
            <w:gridSpan w:val="4"/>
            <w:tcBorders>
              <w:top w:val="single" w:sz="4" w:space="0" w:color="auto"/>
              <w:left w:val="single" w:sz="4" w:space="0" w:color="auto"/>
              <w:bottom w:val="single" w:sz="4" w:space="0" w:color="auto"/>
              <w:right w:val="single" w:sz="4" w:space="0" w:color="auto"/>
            </w:tcBorders>
            <w:shd w:val="clear" w:color="auto" w:fill="DBE5F1"/>
          </w:tcPr>
          <w:p w14:paraId="0EC2DB1F" w14:textId="77777777" w:rsidR="00AD5F86" w:rsidRPr="0094743E" w:rsidRDefault="00AD5F86" w:rsidP="000A17A0">
            <w:pPr>
              <w:autoSpaceDE/>
              <w:adjustRightInd/>
              <w:spacing w:after="160" w:line="256" w:lineRule="auto"/>
              <w:ind w:left="567"/>
              <w:jc w:val="center"/>
              <w:rPr>
                <w:rFonts w:asciiTheme="minorHAnsi" w:eastAsia="Calibri" w:hAnsiTheme="minorHAnsi" w:cstheme="minorHAnsi"/>
                <w:b/>
                <w:bCs/>
                <w:lang w:eastAsia="en-US"/>
              </w:rPr>
            </w:pPr>
            <w:r>
              <w:rPr>
                <w:rFonts w:asciiTheme="minorHAnsi" w:eastAsia="Calibri" w:hAnsiTheme="minorHAnsi" w:cstheme="minorHAnsi"/>
                <w:b/>
                <w:bCs/>
                <w:lang w:eastAsia="en-US"/>
              </w:rPr>
              <w:t>Table 3.1 – Hourly Rates (Maximum 100 marks)</w:t>
            </w:r>
          </w:p>
        </w:tc>
      </w:tr>
      <w:tr w:rsidR="00AD5F86" w:rsidRPr="0094743E" w14:paraId="7CBE9FDF" w14:textId="77777777" w:rsidTr="000A17A0">
        <w:trPr>
          <w:tblHeader/>
        </w:trPr>
        <w:tc>
          <w:tcPr>
            <w:tcW w:w="2126" w:type="dxa"/>
            <w:tcBorders>
              <w:top w:val="single" w:sz="4" w:space="0" w:color="auto"/>
              <w:left w:val="single" w:sz="4" w:space="0" w:color="auto"/>
              <w:bottom w:val="single" w:sz="4" w:space="0" w:color="auto"/>
              <w:right w:val="single" w:sz="4" w:space="0" w:color="auto"/>
            </w:tcBorders>
            <w:shd w:val="clear" w:color="auto" w:fill="DBE5F1"/>
            <w:hideMark/>
          </w:tcPr>
          <w:p w14:paraId="5E2FC3EF" w14:textId="77777777" w:rsidR="00AD5F86" w:rsidRPr="0094743E" w:rsidRDefault="00AD5F86" w:rsidP="000A17A0">
            <w:pPr>
              <w:autoSpaceDE/>
              <w:adjustRightInd/>
              <w:spacing w:after="160" w:line="256" w:lineRule="auto"/>
              <w:ind w:left="567"/>
              <w:rPr>
                <w:rFonts w:asciiTheme="minorHAnsi" w:eastAsia="Calibri" w:hAnsiTheme="minorHAnsi" w:cstheme="minorHAnsi"/>
                <w:b/>
                <w:bCs/>
                <w:lang w:eastAsia="en-US"/>
              </w:rPr>
            </w:pPr>
            <w:r w:rsidRPr="0094743E">
              <w:rPr>
                <w:rFonts w:asciiTheme="minorHAnsi" w:eastAsia="Calibri" w:hAnsiTheme="minorHAnsi" w:cstheme="minorHAnsi"/>
                <w:b/>
                <w:bCs/>
                <w:lang w:eastAsia="en-US"/>
              </w:rPr>
              <w:t>Legal Staff</w:t>
            </w:r>
          </w:p>
        </w:tc>
        <w:tc>
          <w:tcPr>
            <w:tcW w:w="2051" w:type="dxa"/>
            <w:tcBorders>
              <w:top w:val="single" w:sz="4" w:space="0" w:color="auto"/>
              <w:left w:val="single" w:sz="4" w:space="0" w:color="auto"/>
              <w:bottom w:val="single" w:sz="4" w:space="0" w:color="auto"/>
              <w:right w:val="single" w:sz="4" w:space="0" w:color="auto"/>
            </w:tcBorders>
            <w:shd w:val="clear" w:color="auto" w:fill="DBE5F1"/>
          </w:tcPr>
          <w:p w14:paraId="697C887B" w14:textId="77777777" w:rsidR="00AD5F86" w:rsidRPr="0094743E" w:rsidRDefault="00AD5F86" w:rsidP="000A17A0">
            <w:pPr>
              <w:autoSpaceDE/>
              <w:adjustRightInd/>
              <w:spacing w:after="160" w:line="256" w:lineRule="auto"/>
              <w:ind w:left="567"/>
              <w:rPr>
                <w:rFonts w:asciiTheme="minorHAnsi" w:eastAsia="Calibri" w:hAnsiTheme="minorHAnsi" w:cstheme="minorHAnsi"/>
                <w:b/>
                <w:bCs/>
                <w:lang w:eastAsia="en-US"/>
              </w:rPr>
            </w:pPr>
            <w:r w:rsidRPr="0094743E">
              <w:rPr>
                <w:rFonts w:asciiTheme="minorHAnsi" w:eastAsia="Calibri" w:hAnsiTheme="minorHAnsi" w:cstheme="minorHAnsi"/>
                <w:b/>
                <w:bCs/>
                <w:lang w:eastAsia="en-US"/>
              </w:rPr>
              <w:t>Hourly Rate €</w:t>
            </w:r>
          </w:p>
          <w:p w14:paraId="698CBCA9" w14:textId="77777777" w:rsidR="00AD5F86" w:rsidRPr="0094743E" w:rsidRDefault="00AD5F86" w:rsidP="000A17A0">
            <w:pPr>
              <w:autoSpaceDE/>
              <w:adjustRightInd/>
              <w:spacing w:after="160" w:line="256" w:lineRule="auto"/>
              <w:ind w:left="567"/>
              <w:rPr>
                <w:rFonts w:asciiTheme="minorHAnsi" w:eastAsia="Calibri" w:hAnsiTheme="minorHAnsi" w:cstheme="minorHAnsi"/>
                <w:b/>
                <w:bCs/>
                <w:lang w:eastAsia="en-US"/>
              </w:rPr>
            </w:pPr>
          </w:p>
        </w:tc>
        <w:tc>
          <w:tcPr>
            <w:tcW w:w="1777" w:type="dxa"/>
            <w:tcBorders>
              <w:top w:val="single" w:sz="4" w:space="0" w:color="auto"/>
              <w:left w:val="single" w:sz="4" w:space="0" w:color="auto"/>
              <w:bottom w:val="single" w:sz="4" w:space="0" w:color="auto"/>
              <w:right w:val="single" w:sz="4" w:space="0" w:color="auto"/>
            </w:tcBorders>
            <w:shd w:val="clear" w:color="auto" w:fill="DBE5F1"/>
            <w:hideMark/>
          </w:tcPr>
          <w:p w14:paraId="572E8166" w14:textId="77777777" w:rsidR="00AD5F86" w:rsidRPr="0094743E" w:rsidRDefault="00AD5F86" w:rsidP="000A17A0">
            <w:pPr>
              <w:autoSpaceDE/>
              <w:adjustRightInd/>
              <w:spacing w:after="160" w:line="256" w:lineRule="auto"/>
              <w:ind w:left="567"/>
              <w:rPr>
                <w:rFonts w:asciiTheme="minorHAnsi" w:eastAsia="Calibri" w:hAnsiTheme="minorHAnsi" w:cstheme="minorHAnsi"/>
                <w:b/>
                <w:bCs/>
                <w:lang w:eastAsia="en-US"/>
              </w:rPr>
            </w:pPr>
            <w:r>
              <w:rPr>
                <w:rFonts w:asciiTheme="minorHAnsi" w:eastAsia="Calibri" w:hAnsiTheme="minorHAnsi" w:cstheme="minorHAnsi"/>
                <w:b/>
                <w:bCs/>
                <w:lang w:eastAsia="en-US"/>
              </w:rPr>
              <w:t xml:space="preserve">Notional </w:t>
            </w:r>
            <w:r w:rsidRPr="0094743E">
              <w:rPr>
                <w:rFonts w:asciiTheme="minorHAnsi" w:eastAsia="Calibri" w:hAnsiTheme="minorHAnsi" w:cstheme="minorHAnsi"/>
                <w:b/>
                <w:bCs/>
                <w:lang w:eastAsia="en-US"/>
              </w:rPr>
              <w:t>Number of hours</w:t>
            </w:r>
          </w:p>
        </w:tc>
        <w:tc>
          <w:tcPr>
            <w:tcW w:w="2360" w:type="dxa"/>
            <w:tcBorders>
              <w:top w:val="single" w:sz="4" w:space="0" w:color="auto"/>
              <w:left w:val="single" w:sz="4" w:space="0" w:color="auto"/>
              <w:bottom w:val="single" w:sz="4" w:space="0" w:color="auto"/>
              <w:right w:val="single" w:sz="4" w:space="0" w:color="auto"/>
            </w:tcBorders>
            <w:shd w:val="clear" w:color="auto" w:fill="DBE5F1"/>
            <w:hideMark/>
          </w:tcPr>
          <w:p w14:paraId="2E271660" w14:textId="77777777" w:rsidR="00AD5F86" w:rsidRPr="0094743E" w:rsidRDefault="00AD5F86" w:rsidP="000A17A0">
            <w:pPr>
              <w:autoSpaceDE/>
              <w:adjustRightInd/>
              <w:spacing w:after="160" w:line="256" w:lineRule="auto"/>
              <w:ind w:left="567"/>
              <w:rPr>
                <w:rFonts w:asciiTheme="minorHAnsi" w:eastAsia="Calibri" w:hAnsiTheme="minorHAnsi" w:cstheme="minorHAnsi"/>
                <w:b/>
                <w:bCs/>
                <w:lang w:eastAsia="en-US"/>
              </w:rPr>
            </w:pPr>
            <w:r w:rsidRPr="0094743E">
              <w:rPr>
                <w:rFonts w:asciiTheme="minorHAnsi" w:eastAsia="Calibri" w:hAnsiTheme="minorHAnsi" w:cstheme="minorHAnsi"/>
                <w:b/>
                <w:bCs/>
                <w:lang w:eastAsia="en-US"/>
              </w:rPr>
              <w:t>Total</w:t>
            </w:r>
            <w:r>
              <w:rPr>
                <w:rFonts w:asciiTheme="minorHAnsi" w:eastAsia="Calibri" w:hAnsiTheme="minorHAnsi" w:cstheme="minorHAnsi"/>
                <w:b/>
                <w:bCs/>
                <w:lang w:eastAsia="en-US"/>
              </w:rPr>
              <w:t xml:space="preserve"> Notional</w:t>
            </w:r>
            <w:r w:rsidRPr="0094743E">
              <w:rPr>
                <w:rFonts w:asciiTheme="minorHAnsi" w:eastAsia="Calibri" w:hAnsiTheme="minorHAnsi" w:cstheme="minorHAnsi"/>
                <w:b/>
                <w:bCs/>
                <w:lang w:eastAsia="en-US"/>
              </w:rPr>
              <w:t xml:space="preserve"> </w:t>
            </w:r>
            <w:r>
              <w:rPr>
                <w:rFonts w:asciiTheme="minorHAnsi" w:eastAsia="Calibri" w:hAnsiTheme="minorHAnsi" w:cstheme="minorHAnsi"/>
                <w:b/>
                <w:bCs/>
                <w:lang w:eastAsia="en-US"/>
              </w:rPr>
              <w:t>Fees</w:t>
            </w:r>
          </w:p>
          <w:p w14:paraId="2C921F11" w14:textId="77777777" w:rsidR="00AD5F86" w:rsidRPr="0094743E" w:rsidRDefault="00AD5F86" w:rsidP="000A17A0">
            <w:pPr>
              <w:autoSpaceDE/>
              <w:adjustRightInd/>
              <w:spacing w:after="160" w:line="256" w:lineRule="auto"/>
              <w:ind w:left="567"/>
              <w:rPr>
                <w:rFonts w:asciiTheme="minorHAnsi" w:eastAsia="Calibri" w:hAnsiTheme="minorHAnsi" w:cstheme="minorHAnsi"/>
                <w:b/>
                <w:bCs/>
                <w:lang w:eastAsia="en-US"/>
              </w:rPr>
            </w:pPr>
            <w:r w:rsidRPr="0094743E">
              <w:rPr>
                <w:rFonts w:asciiTheme="minorHAnsi" w:eastAsia="Calibri" w:hAnsiTheme="minorHAnsi" w:cstheme="minorHAnsi"/>
                <w:b/>
                <w:bCs/>
                <w:lang w:eastAsia="en-US"/>
              </w:rPr>
              <w:t>€</w:t>
            </w:r>
          </w:p>
        </w:tc>
      </w:tr>
      <w:tr w:rsidR="00AD5F86" w:rsidRPr="0094743E" w14:paraId="41F97B1F" w14:textId="77777777" w:rsidTr="000A17A0">
        <w:trPr>
          <w:trHeight w:val="507"/>
        </w:trPr>
        <w:tc>
          <w:tcPr>
            <w:tcW w:w="2126" w:type="dxa"/>
            <w:tcBorders>
              <w:top w:val="single" w:sz="4" w:space="0" w:color="auto"/>
              <w:left w:val="single" w:sz="4" w:space="0" w:color="auto"/>
              <w:bottom w:val="single" w:sz="4" w:space="0" w:color="auto"/>
              <w:right w:val="single" w:sz="4" w:space="0" w:color="auto"/>
            </w:tcBorders>
            <w:vAlign w:val="center"/>
            <w:hideMark/>
          </w:tcPr>
          <w:p w14:paraId="38081FE7" w14:textId="77777777" w:rsidR="00AD5F86" w:rsidRPr="0094743E" w:rsidRDefault="00AD5F86" w:rsidP="000A17A0">
            <w:pPr>
              <w:autoSpaceDE/>
              <w:adjustRightInd/>
              <w:spacing w:after="160" w:line="256" w:lineRule="auto"/>
              <w:ind w:left="567"/>
              <w:rPr>
                <w:rFonts w:asciiTheme="minorHAnsi" w:eastAsia="Calibri" w:hAnsiTheme="minorHAnsi" w:cstheme="minorHAnsi"/>
                <w:bCs/>
                <w:lang w:eastAsia="en-US"/>
              </w:rPr>
            </w:pPr>
            <w:r w:rsidRPr="0094743E">
              <w:rPr>
                <w:rFonts w:asciiTheme="minorHAnsi" w:eastAsia="Calibri" w:hAnsiTheme="minorHAnsi" w:cstheme="minorHAnsi"/>
                <w:bCs/>
                <w:lang w:eastAsia="en-US"/>
              </w:rPr>
              <w:t>Partner</w:t>
            </w:r>
          </w:p>
        </w:tc>
        <w:tc>
          <w:tcPr>
            <w:tcW w:w="2051" w:type="dxa"/>
            <w:tcBorders>
              <w:top w:val="single" w:sz="4" w:space="0" w:color="auto"/>
              <w:left w:val="single" w:sz="4" w:space="0" w:color="auto"/>
              <w:bottom w:val="single" w:sz="4" w:space="0" w:color="auto"/>
              <w:right w:val="single" w:sz="4" w:space="0" w:color="auto"/>
            </w:tcBorders>
          </w:tcPr>
          <w:p w14:paraId="2ABCBE5B" w14:textId="77777777" w:rsidR="00AD5F86" w:rsidRPr="0094743E" w:rsidRDefault="00AD5F86" w:rsidP="000A17A0">
            <w:pPr>
              <w:autoSpaceDE/>
              <w:adjustRightInd/>
              <w:spacing w:after="160" w:line="256" w:lineRule="auto"/>
              <w:ind w:left="567"/>
              <w:rPr>
                <w:rFonts w:asciiTheme="minorHAnsi" w:eastAsia="Calibri" w:hAnsiTheme="minorHAnsi" w:cstheme="minorHAnsi"/>
                <w:bCs/>
                <w:lang w:eastAsia="en-US"/>
              </w:rPr>
            </w:pPr>
          </w:p>
        </w:tc>
        <w:tc>
          <w:tcPr>
            <w:tcW w:w="1777" w:type="dxa"/>
            <w:tcBorders>
              <w:top w:val="single" w:sz="4" w:space="0" w:color="auto"/>
              <w:left w:val="single" w:sz="4" w:space="0" w:color="auto"/>
              <w:bottom w:val="single" w:sz="4" w:space="0" w:color="auto"/>
              <w:right w:val="single" w:sz="4" w:space="0" w:color="auto"/>
            </w:tcBorders>
            <w:vAlign w:val="center"/>
            <w:hideMark/>
          </w:tcPr>
          <w:p w14:paraId="25DF6FF1" w14:textId="77777777" w:rsidR="00AD5F86" w:rsidRPr="0094743E" w:rsidRDefault="00AD5F86" w:rsidP="000A17A0">
            <w:pPr>
              <w:autoSpaceDE/>
              <w:adjustRightInd/>
              <w:spacing w:after="160" w:line="256" w:lineRule="auto"/>
              <w:ind w:left="567"/>
              <w:rPr>
                <w:rFonts w:asciiTheme="minorHAnsi" w:eastAsia="Calibri" w:hAnsiTheme="minorHAnsi" w:cstheme="minorHAnsi"/>
                <w:bCs/>
                <w:lang w:eastAsia="en-US"/>
              </w:rPr>
            </w:pPr>
            <w:r>
              <w:rPr>
                <w:rFonts w:asciiTheme="minorHAnsi" w:eastAsia="Calibri" w:hAnsiTheme="minorHAnsi" w:cstheme="minorHAnsi"/>
                <w:bCs/>
                <w:lang w:eastAsia="en-US"/>
              </w:rPr>
              <w:t>10</w:t>
            </w:r>
          </w:p>
        </w:tc>
        <w:tc>
          <w:tcPr>
            <w:tcW w:w="2360" w:type="dxa"/>
            <w:tcBorders>
              <w:top w:val="single" w:sz="4" w:space="0" w:color="auto"/>
              <w:left w:val="single" w:sz="4" w:space="0" w:color="auto"/>
              <w:bottom w:val="single" w:sz="4" w:space="0" w:color="auto"/>
              <w:right w:val="single" w:sz="4" w:space="0" w:color="auto"/>
            </w:tcBorders>
          </w:tcPr>
          <w:p w14:paraId="07D643F3" w14:textId="77777777" w:rsidR="00AD5F86" w:rsidRPr="0094743E" w:rsidRDefault="00AD5F86" w:rsidP="000A17A0">
            <w:pPr>
              <w:autoSpaceDE/>
              <w:adjustRightInd/>
              <w:spacing w:after="160" w:line="256" w:lineRule="auto"/>
              <w:ind w:left="567"/>
              <w:rPr>
                <w:rFonts w:asciiTheme="minorHAnsi" w:eastAsia="Calibri" w:hAnsiTheme="minorHAnsi" w:cstheme="minorHAnsi"/>
                <w:bCs/>
                <w:lang w:eastAsia="en-US"/>
              </w:rPr>
            </w:pPr>
          </w:p>
        </w:tc>
      </w:tr>
      <w:tr w:rsidR="00AD5F86" w:rsidRPr="0094743E" w14:paraId="1E350C39" w14:textId="77777777" w:rsidTr="000A17A0">
        <w:trPr>
          <w:trHeight w:val="1110"/>
        </w:trPr>
        <w:tc>
          <w:tcPr>
            <w:tcW w:w="2126" w:type="dxa"/>
            <w:tcBorders>
              <w:top w:val="single" w:sz="4" w:space="0" w:color="auto"/>
              <w:left w:val="single" w:sz="4" w:space="0" w:color="auto"/>
              <w:bottom w:val="single" w:sz="4" w:space="0" w:color="auto"/>
              <w:right w:val="single" w:sz="4" w:space="0" w:color="auto"/>
            </w:tcBorders>
            <w:vAlign w:val="center"/>
            <w:hideMark/>
          </w:tcPr>
          <w:p w14:paraId="1AF536CC" w14:textId="77777777" w:rsidR="00AD5F86" w:rsidRPr="0094743E" w:rsidRDefault="00AD5F86" w:rsidP="000A17A0">
            <w:pPr>
              <w:autoSpaceDE/>
              <w:adjustRightInd/>
              <w:spacing w:after="160" w:line="256" w:lineRule="auto"/>
              <w:ind w:left="567"/>
              <w:rPr>
                <w:rFonts w:asciiTheme="minorHAnsi" w:eastAsia="Calibri" w:hAnsiTheme="minorHAnsi" w:cstheme="minorHAnsi"/>
                <w:bCs/>
                <w:lang w:eastAsia="en-US"/>
              </w:rPr>
            </w:pPr>
            <w:r w:rsidRPr="0094743E">
              <w:rPr>
                <w:rFonts w:asciiTheme="minorHAnsi" w:eastAsia="Calibri" w:hAnsiTheme="minorHAnsi" w:cstheme="minorHAnsi"/>
                <w:bCs/>
                <w:lang w:eastAsia="en-US"/>
              </w:rPr>
              <w:t xml:space="preserve">Senior Associate </w:t>
            </w:r>
          </w:p>
          <w:p w14:paraId="4C43DE1D" w14:textId="77777777" w:rsidR="00AD5F86" w:rsidRPr="0094743E" w:rsidRDefault="00AD5F86" w:rsidP="000A17A0">
            <w:pPr>
              <w:autoSpaceDE/>
              <w:adjustRightInd/>
              <w:spacing w:after="160" w:line="256" w:lineRule="auto"/>
              <w:ind w:left="567"/>
              <w:rPr>
                <w:rFonts w:asciiTheme="minorHAnsi" w:eastAsia="Calibri" w:hAnsiTheme="minorHAnsi" w:cstheme="minorHAnsi"/>
                <w:bCs/>
                <w:lang w:eastAsia="en-US"/>
              </w:rPr>
            </w:pPr>
            <w:r w:rsidRPr="0094743E">
              <w:rPr>
                <w:rFonts w:asciiTheme="minorHAnsi" w:eastAsia="Calibri" w:hAnsiTheme="minorHAnsi" w:cstheme="minorHAnsi"/>
                <w:bCs/>
                <w:lang w:eastAsia="en-US"/>
              </w:rPr>
              <w:t>(5+ years post admission)</w:t>
            </w:r>
          </w:p>
        </w:tc>
        <w:tc>
          <w:tcPr>
            <w:tcW w:w="2051" w:type="dxa"/>
            <w:tcBorders>
              <w:top w:val="single" w:sz="4" w:space="0" w:color="auto"/>
              <w:left w:val="single" w:sz="4" w:space="0" w:color="auto"/>
              <w:bottom w:val="single" w:sz="4" w:space="0" w:color="auto"/>
              <w:right w:val="single" w:sz="4" w:space="0" w:color="auto"/>
            </w:tcBorders>
          </w:tcPr>
          <w:p w14:paraId="62ACEC9A" w14:textId="77777777" w:rsidR="00AD5F86" w:rsidRPr="0094743E" w:rsidRDefault="00AD5F86" w:rsidP="000A17A0">
            <w:pPr>
              <w:autoSpaceDE/>
              <w:adjustRightInd/>
              <w:spacing w:after="160" w:line="256" w:lineRule="auto"/>
              <w:ind w:left="567"/>
              <w:rPr>
                <w:rFonts w:asciiTheme="minorHAnsi" w:eastAsia="Calibri" w:hAnsiTheme="minorHAnsi" w:cstheme="minorHAnsi"/>
                <w:bCs/>
                <w:lang w:eastAsia="en-US"/>
              </w:rPr>
            </w:pPr>
          </w:p>
        </w:tc>
        <w:tc>
          <w:tcPr>
            <w:tcW w:w="1777" w:type="dxa"/>
            <w:tcBorders>
              <w:top w:val="single" w:sz="4" w:space="0" w:color="auto"/>
              <w:left w:val="single" w:sz="4" w:space="0" w:color="auto"/>
              <w:bottom w:val="single" w:sz="4" w:space="0" w:color="auto"/>
              <w:right w:val="single" w:sz="4" w:space="0" w:color="auto"/>
            </w:tcBorders>
            <w:vAlign w:val="center"/>
            <w:hideMark/>
          </w:tcPr>
          <w:p w14:paraId="1EFDC9A2" w14:textId="77777777" w:rsidR="00AD5F86" w:rsidRPr="0094743E" w:rsidRDefault="00AD5F86" w:rsidP="000A17A0">
            <w:pPr>
              <w:autoSpaceDE/>
              <w:adjustRightInd/>
              <w:spacing w:after="160" w:line="256" w:lineRule="auto"/>
              <w:ind w:left="567"/>
              <w:rPr>
                <w:rFonts w:asciiTheme="minorHAnsi" w:eastAsia="Calibri" w:hAnsiTheme="minorHAnsi" w:cstheme="minorHAnsi"/>
                <w:bCs/>
                <w:lang w:eastAsia="en-US"/>
              </w:rPr>
            </w:pPr>
            <w:r>
              <w:rPr>
                <w:rFonts w:asciiTheme="minorHAnsi" w:eastAsia="Calibri" w:hAnsiTheme="minorHAnsi" w:cstheme="minorHAnsi"/>
                <w:bCs/>
                <w:lang w:eastAsia="en-US"/>
              </w:rPr>
              <w:t>20</w:t>
            </w:r>
          </w:p>
        </w:tc>
        <w:tc>
          <w:tcPr>
            <w:tcW w:w="2360" w:type="dxa"/>
            <w:tcBorders>
              <w:top w:val="single" w:sz="4" w:space="0" w:color="auto"/>
              <w:left w:val="single" w:sz="4" w:space="0" w:color="auto"/>
              <w:bottom w:val="single" w:sz="4" w:space="0" w:color="auto"/>
              <w:right w:val="single" w:sz="4" w:space="0" w:color="auto"/>
            </w:tcBorders>
          </w:tcPr>
          <w:p w14:paraId="092CFEBB" w14:textId="77777777" w:rsidR="00AD5F86" w:rsidRPr="0094743E" w:rsidRDefault="00AD5F86" w:rsidP="000A17A0">
            <w:pPr>
              <w:autoSpaceDE/>
              <w:adjustRightInd/>
              <w:spacing w:after="160" w:line="256" w:lineRule="auto"/>
              <w:ind w:left="567"/>
              <w:rPr>
                <w:rFonts w:asciiTheme="minorHAnsi" w:eastAsia="Calibri" w:hAnsiTheme="minorHAnsi" w:cstheme="minorHAnsi"/>
                <w:bCs/>
                <w:lang w:eastAsia="en-US"/>
              </w:rPr>
            </w:pPr>
          </w:p>
        </w:tc>
      </w:tr>
      <w:tr w:rsidR="00AD5F86" w:rsidRPr="0094743E" w14:paraId="3137EDAD" w14:textId="77777777" w:rsidTr="000A17A0">
        <w:trPr>
          <w:trHeight w:val="998"/>
        </w:trPr>
        <w:tc>
          <w:tcPr>
            <w:tcW w:w="2126" w:type="dxa"/>
            <w:tcBorders>
              <w:top w:val="single" w:sz="4" w:space="0" w:color="auto"/>
              <w:left w:val="single" w:sz="4" w:space="0" w:color="auto"/>
              <w:bottom w:val="single" w:sz="4" w:space="0" w:color="auto"/>
              <w:right w:val="single" w:sz="4" w:space="0" w:color="auto"/>
            </w:tcBorders>
            <w:vAlign w:val="center"/>
            <w:hideMark/>
          </w:tcPr>
          <w:p w14:paraId="7422BAB3" w14:textId="77777777" w:rsidR="00AD5F86" w:rsidRPr="0094743E" w:rsidRDefault="00AD5F86" w:rsidP="000A17A0">
            <w:pPr>
              <w:autoSpaceDE/>
              <w:adjustRightInd/>
              <w:spacing w:after="160" w:line="256" w:lineRule="auto"/>
              <w:ind w:left="567"/>
              <w:rPr>
                <w:rFonts w:asciiTheme="minorHAnsi" w:eastAsia="Calibri" w:hAnsiTheme="minorHAnsi" w:cstheme="minorHAnsi"/>
                <w:bCs/>
                <w:lang w:eastAsia="en-US"/>
              </w:rPr>
            </w:pPr>
            <w:r w:rsidRPr="0094743E">
              <w:rPr>
                <w:rFonts w:asciiTheme="minorHAnsi" w:eastAsia="Calibri" w:hAnsiTheme="minorHAnsi" w:cstheme="minorHAnsi"/>
                <w:bCs/>
                <w:lang w:eastAsia="en-US"/>
              </w:rPr>
              <w:t xml:space="preserve">Solicitor </w:t>
            </w:r>
          </w:p>
          <w:p w14:paraId="7361569E" w14:textId="77777777" w:rsidR="00AD5F86" w:rsidRPr="0094743E" w:rsidRDefault="00AD5F86" w:rsidP="000A17A0">
            <w:pPr>
              <w:autoSpaceDE/>
              <w:adjustRightInd/>
              <w:spacing w:after="160" w:line="256" w:lineRule="auto"/>
              <w:ind w:left="567"/>
              <w:rPr>
                <w:rFonts w:asciiTheme="minorHAnsi" w:eastAsia="Calibri" w:hAnsiTheme="minorHAnsi" w:cstheme="minorHAnsi"/>
                <w:bCs/>
                <w:lang w:eastAsia="en-US"/>
              </w:rPr>
            </w:pPr>
            <w:r w:rsidRPr="0094743E">
              <w:rPr>
                <w:rFonts w:asciiTheme="minorHAnsi" w:eastAsia="Calibri" w:hAnsiTheme="minorHAnsi" w:cstheme="minorHAnsi"/>
                <w:bCs/>
                <w:lang w:eastAsia="en-US"/>
              </w:rPr>
              <w:t>(less than 5 years post admission)</w:t>
            </w:r>
          </w:p>
        </w:tc>
        <w:tc>
          <w:tcPr>
            <w:tcW w:w="2051" w:type="dxa"/>
            <w:tcBorders>
              <w:top w:val="single" w:sz="4" w:space="0" w:color="auto"/>
              <w:left w:val="single" w:sz="4" w:space="0" w:color="auto"/>
              <w:bottom w:val="single" w:sz="4" w:space="0" w:color="auto"/>
              <w:right w:val="single" w:sz="4" w:space="0" w:color="auto"/>
            </w:tcBorders>
          </w:tcPr>
          <w:p w14:paraId="7844D352" w14:textId="77777777" w:rsidR="00AD5F86" w:rsidRPr="0094743E" w:rsidRDefault="00AD5F86" w:rsidP="000A17A0">
            <w:pPr>
              <w:autoSpaceDE/>
              <w:adjustRightInd/>
              <w:spacing w:after="160" w:line="256" w:lineRule="auto"/>
              <w:ind w:left="567"/>
              <w:rPr>
                <w:rFonts w:asciiTheme="minorHAnsi" w:eastAsia="Calibri" w:hAnsiTheme="minorHAnsi" w:cstheme="minorHAnsi"/>
                <w:bCs/>
                <w:lang w:eastAsia="en-US"/>
              </w:rPr>
            </w:pPr>
          </w:p>
        </w:tc>
        <w:tc>
          <w:tcPr>
            <w:tcW w:w="1777" w:type="dxa"/>
            <w:tcBorders>
              <w:top w:val="single" w:sz="4" w:space="0" w:color="auto"/>
              <w:left w:val="single" w:sz="4" w:space="0" w:color="auto"/>
              <w:bottom w:val="single" w:sz="4" w:space="0" w:color="auto"/>
              <w:right w:val="single" w:sz="4" w:space="0" w:color="auto"/>
            </w:tcBorders>
            <w:vAlign w:val="center"/>
            <w:hideMark/>
          </w:tcPr>
          <w:p w14:paraId="036BEE99" w14:textId="77777777" w:rsidR="00AD5F86" w:rsidRPr="0094743E" w:rsidRDefault="00AD5F86" w:rsidP="000A17A0">
            <w:pPr>
              <w:autoSpaceDE/>
              <w:adjustRightInd/>
              <w:spacing w:after="160" w:line="256" w:lineRule="auto"/>
              <w:ind w:left="567"/>
              <w:rPr>
                <w:rFonts w:asciiTheme="minorHAnsi" w:eastAsia="Calibri" w:hAnsiTheme="minorHAnsi" w:cstheme="minorHAnsi"/>
                <w:bCs/>
                <w:lang w:eastAsia="en-US"/>
              </w:rPr>
            </w:pPr>
            <w:r>
              <w:rPr>
                <w:rFonts w:asciiTheme="minorHAnsi" w:eastAsia="Calibri" w:hAnsiTheme="minorHAnsi" w:cstheme="minorHAnsi"/>
                <w:bCs/>
                <w:lang w:eastAsia="en-US"/>
              </w:rPr>
              <w:t>50</w:t>
            </w:r>
          </w:p>
        </w:tc>
        <w:tc>
          <w:tcPr>
            <w:tcW w:w="2360" w:type="dxa"/>
            <w:tcBorders>
              <w:top w:val="single" w:sz="4" w:space="0" w:color="auto"/>
              <w:left w:val="single" w:sz="4" w:space="0" w:color="auto"/>
              <w:bottom w:val="single" w:sz="4" w:space="0" w:color="auto"/>
              <w:right w:val="single" w:sz="4" w:space="0" w:color="auto"/>
            </w:tcBorders>
          </w:tcPr>
          <w:p w14:paraId="5EAD1628" w14:textId="77777777" w:rsidR="00AD5F86" w:rsidRPr="0094743E" w:rsidRDefault="00AD5F86" w:rsidP="000A17A0">
            <w:pPr>
              <w:autoSpaceDE/>
              <w:adjustRightInd/>
              <w:spacing w:after="160" w:line="256" w:lineRule="auto"/>
              <w:ind w:left="567"/>
              <w:rPr>
                <w:rFonts w:asciiTheme="minorHAnsi" w:eastAsia="Calibri" w:hAnsiTheme="minorHAnsi" w:cstheme="minorHAnsi"/>
                <w:bCs/>
                <w:lang w:eastAsia="en-US"/>
              </w:rPr>
            </w:pPr>
          </w:p>
        </w:tc>
      </w:tr>
      <w:tr w:rsidR="00AD5F86" w:rsidRPr="0094743E" w14:paraId="374B56BA" w14:textId="77777777" w:rsidTr="000A17A0">
        <w:trPr>
          <w:trHeight w:val="402"/>
        </w:trPr>
        <w:tc>
          <w:tcPr>
            <w:tcW w:w="2126" w:type="dxa"/>
            <w:tcBorders>
              <w:top w:val="single" w:sz="4" w:space="0" w:color="auto"/>
              <w:left w:val="single" w:sz="4" w:space="0" w:color="auto"/>
              <w:bottom w:val="single" w:sz="4" w:space="0" w:color="auto"/>
              <w:right w:val="single" w:sz="4" w:space="0" w:color="auto"/>
            </w:tcBorders>
            <w:vAlign w:val="center"/>
            <w:hideMark/>
          </w:tcPr>
          <w:p w14:paraId="49A5C3F7" w14:textId="77777777" w:rsidR="00AD5F86" w:rsidRPr="0094743E" w:rsidRDefault="00AD5F86" w:rsidP="000A17A0">
            <w:pPr>
              <w:autoSpaceDE/>
              <w:adjustRightInd/>
              <w:spacing w:after="160" w:line="256" w:lineRule="auto"/>
              <w:ind w:left="567"/>
              <w:rPr>
                <w:rFonts w:asciiTheme="minorHAnsi" w:eastAsia="Calibri" w:hAnsiTheme="minorHAnsi" w:cstheme="minorHAnsi"/>
                <w:bCs/>
                <w:lang w:eastAsia="en-US"/>
              </w:rPr>
            </w:pPr>
            <w:r w:rsidRPr="0094743E">
              <w:rPr>
                <w:rFonts w:asciiTheme="minorHAnsi" w:eastAsia="Calibri" w:hAnsiTheme="minorHAnsi" w:cstheme="minorHAnsi"/>
                <w:bCs/>
                <w:lang w:eastAsia="en-US"/>
              </w:rPr>
              <w:t>Trainee Solicitor</w:t>
            </w:r>
          </w:p>
        </w:tc>
        <w:tc>
          <w:tcPr>
            <w:tcW w:w="2051" w:type="dxa"/>
            <w:tcBorders>
              <w:top w:val="single" w:sz="4" w:space="0" w:color="auto"/>
              <w:left w:val="single" w:sz="4" w:space="0" w:color="auto"/>
              <w:bottom w:val="single" w:sz="4" w:space="0" w:color="auto"/>
              <w:right w:val="single" w:sz="4" w:space="0" w:color="auto"/>
            </w:tcBorders>
          </w:tcPr>
          <w:p w14:paraId="775BA475" w14:textId="77777777" w:rsidR="00AD5F86" w:rsidRPr="0094743E" w:rsidRDefault="00AD5F86" w:rsidP="000A17A0">
            <w:pPr>
              <w:autoSpaceDE/>
              <w:adjustRightInd/>
              <w:spacing w:after="160" w:line="256" w:lineRule="auto"/>
              <w:ind w:left="567"/>
              <w:rPr>
                <w:rFonts w:asciiTheme="minorHAnsi" w:eastAsia="Calibri" w:hAnsiTheme="minorHAnsi" w:cstheme="minorHAnsi"/>
                <w:bCs/>
                <w:lang w:eastAsia="en-US"/>
              </w:rPr>
            </w:pPr>
          </w:p>
        </w:tc>
        <w:tc>
          <w:tcPr>
            <w:tcW w:w="1777" w:type="dxa"/>
            <w:tcBorders>
              <w:top w:val="single" w:sz="4" w:space="0" w:color="auto"/>
              <w:left w:val="single" w:sz="4" w:space="0" w:color="auto"/>
              <w:bottom w:val="single" w:sz="4" w:space="0" w:color="auto"/>
              <w:right w:val="single" w:sz="4" w:space="0" w:color="auto"/>
            </w:tcBorders>
            <w:vAlign w:val="center"/>
            <w:hideMark/>
          </w:tcPr>
          <w:p w14:paraId="11C11285" w14:textId="77777777" w:rsidR="00AD5F86" w:rsidRPr="0094743E" w:rsidRDefault="00AD5F86" w:rsidP="000A17A0">
            <w:pPr>
              <w:autoSpaceDE/>
              <w:adjustRightInd/>
              <w:spacing w:after="160" w:line="256" w:lineRule="auto"/>
              <w:ind w:left="567"/>
              <w:rPr>
                <w:rFonts w:asciiTheme="minorHAnsi" w:eastAsia="Calibri" w:hAnsiTheme="minorHAnsi" w:cstheme="minorHAnsi"/>
                <w:bCs/>
                <w:lang w:eastAsia="en-US"/>
              </w:rPr>
            </w:pPr>
            <w:r>
              <w:rPr>
                <w:rFonts w:asciiTheme="minorHAnsi" w:eastAsia="Calibri" w:hAnsiTheme="minorHAnsi" w:cstheme="minorHAnsi"/>
                <w:bCs/>
                <w:lang w:eastAsia="en-US"/>
              </w:rPr>
              <w:t>20</w:t>
            </w:r>
          </w:p>
        </w:tc>
        <w:tc>
          <w:tcPr>
            <w:tcW w:w="2360" w:type="dxa"/>
            <w:tcBorders>
              <w:top w:val="single" w:sz="4" w:space="0" w:color="auto"/>
              <w:left w:val="single" w:sz="4" w:space="0" w:color="auto"/>
              <w:bottom w:val="single" w:sz="4" w:space="0" w:color="auto"/>
              <w:right w:val="single" w:sz="4" w:space="0" w:color="auto"/>
            </w:tcBorders>
          </w:tcPr>
          <w:p w14:paraId="36F02F17" w14:textId="77777777" w:rsidR="00AD5F86" w:rsidRPr="0094743E" w:rsidRDefault="00AD5F86" w:rsidP="000A17A0">
            <w:pPr>
              <w:autoSpaceDE/>
              <w:adjustRightInd/>
              <w:spacing w:after="160" w:line="256" w:lineRule="auto"/>
              <w:ind w:left="567"/>
              <w:rPr>
                <w:rFonts w:asciiTheme="minorHAnsi" w:eastAsia="Calibri" w:hAnsiTheme="minorHAnsi" w:cstheme="minorHAnsi"/>
                <w:bCs/>
                <w:lang w:eastAsia="en-US"/>
              </w:rPr>
            </w:pPr>
          </w:p>
        </w:tc>
      </w:tr>
      <w:tr w:rsidR="00AD5F86" w:rsidRPr="0094743E" w14:paraId="268BC0AA" w14:textId="77777777" w:rsidTr="000A17A0">
        <w:trPr>
          <w:trHeight w:val="359"/>
        </w:trPr>
        <w:tc>
          <w:tcPr>
            <w:tcW w:w="5954" w:type="dxa"/>
            <w:gridSpan w:val="3"/>
            <w:tcBorders>
              <w:top w:val="single" w:sz="4" w:space="0" w:color="auto"/>
              <w:left w:val="single" w:sz="4" w:space="0" w:color="auto"/>
              <w:bottom w:val="single" w:sz="4" w:space="0" w:color="auto"/>
              <w:right w:val="single" w:sz="4" w:space="0" w:color="auto"/>
            </w:tcBorders>
            <w:vAlign w:val="center"/>
            <w:hideMark/>
          </w:tcPr>
          <w:p w14:paraId="604B0173" w14:textId="77777777" w:rsidR="00AD5F86" w:rsidRPr="0094743E" w:rsidRDefault="00AD5F86" w:rsidP="000A17A0">
            <w:pPr>
              <w:autoSpaceDE/>
              <w:adjustRightInd/>
              <w:spacing w:after="160" w:line="256" w:lineRule="auto"/>
              <w:ind w:left="567"/>
              <w:rPr>
                <w:rFonts w:asciiTheme="minorHAnsi" w:eastAsia="Calibri" w:hAnsiTheme="minorHAnsi" w:cstheme="minorHAnsi"/>
                <w:b/>
                <w:bCs/>
                <w:lang w:eastAsia="en-US"/>
              </w:rPr>
            </w:pPr>
            <w:r w:rsidRPr="0094743E">
              <w:rPr>
                <w:rFonts w:asciiTheme="minorHAnsi" w:eastAsia="Calibri" w:hAnsiTheme="minorHAnsi" w:cstheme="minorHAnsi"/>
                <w:b/>
                <w:bCs/>
                <w:lang w:eastAsia="en-US"/>
              </w:rPr>
              <w:t xml:space="preserve">TOTAL </w:t>
            </w:r>
            <w:r>
              <w:rPr>
                <w:rFonts w:asciiTheme="minorHAnsi" w:eastAsia="Calibri" w:hAnsiTheme="minorHAnsi" w:cstheme="minorHAnsi"/>
                <w:b/>
                <w:bCs/>
                <w:lang w:eastAsia="en-US"/>
              </w:rPr>
              <w:t xml:space="preserve">NOTIONAL </w:t>
            </w:r>
            <w:r w:rsidRPr="0094743E">
              <w:rPr>
                <w:rFonts w:asciiTheme="minorHAnsi" w:eastAsia="Calibri" w:hAnsiTheme="minorHAnsi" w:cstheme="minorHAnsi"/>
                <w:b/>
                <w:bCs/>
                <w:lang w:eastAsia="en-US"/>
              </w:rPr>
              <w:t xml:space="preserve"> FEE </w:t>
            </w:r>
          </w:p>
        </w:tc>
        <w:tc>
          <w:tcPr>
            <w:tcW w:w="2360" w:type="dxa"/>
            <w:tcBorders>
              <w:top w:val="single" w:sz="4" w:space="0" w:color="auto"/>
              <w:left w:val="single" w:sz="4" w:space="0" w:color="auto"/>
              <w:bottom w:val="single" w:sz="4" w:space="0" w:color="auto"/>
              <w:right w:val="single" w:sz="4" w:space="0" w:color="auto"/>
            </w:tcBorders>
          </w:tcPr>
          <w:p w14:paraId="3883777D" w14:textId="77777777" w:rsidR="00AD5F86" w:rsidRPr="0094743E" w:rsidRDefault="00AD5F86" w:rsidP="000A17A0">
            <w:pPr>
              <w:autoSpaceDE/>
              <w:adjustRightInd/>
              <w:spacing w:after="160" w:line="256" w:lineRule="auto"/>
              <w:ind w:left="567"/>
              <w:rPr>
                <w:rFonts w:asciiTheme="minorHAnsi" w:eastAsia="Calibri" w:hAnsiTheme="minorHAnsi" w:cstheme="minorHAnsi"/>
                <w:bCs/>
                <w:lang w:eastAsia="en-US"/>
              </w:rPr>
            </w:pPr>
          </w:p>
        </w:tc>
      </w:tr>
    </w:tbl>
    <w:p w14:paraId="5A6B13D2" w14:textId="77777777" w:rsidR="00AD5F86" w:rsidRPr="0094743E" w:rsidRDefault="00AD5F86" w:rsidP="00AD5F86">
      <w:pPr>
        <w:autoSpaceDE/>
        <w:adjustRightInd/>
        <w:spacing w:after="160" w:line="256" w:lineRule="auto"/>
        <w:ind w:left="567"/>
        <w:rPr>
          <w:rFonts w:asciiTheme="minorHAnsi" w:eastAsia="Calibri" w:hAnsiTheme="minorHAnsi" w:cstheme="minorHAnsi"/>
          <w:bCs/>
          <w:lang w:val="en-IE" w:eastAsia="en-US"/>
        </w:rPr>
      </w:pPr>
    </w:p>
    <w:p w14:paraId="58E445DD" w14:textId="77777777" w:rsidR="00AD5F86" w:rsidRPr="0094743E" w:rsidRDefault="00AD5F86" w:rsidP="00AD5F86">
      <w:pPr>
        <w:autoSpaceDE/>
        <w:adjustRightInd/>
        <w:spacing w:after="160" w:line="256" w:lineRule="auto"/>
        <w:ind w:firstLine="720"/>
        <w:rPr>
          <w:rFonts w:asciiTheme="minorHAnsi" w:eastAsia="Calibri" w:hAnsiTheme="minorHAnsi" w:cstheme="minorHAnsi"/>
          <w:b/>
          <w:bCs/>
          <w:lang w:eastAsia="en-US"/>
        </w:rPr>
      </w:pPr>
      <w:r w:rsidRPr="0094743E">
        <w:rPr>
          <w:rFonts w:asciiTheme="minorHAnsi" w:eastAsia="Calibri" w:hAnsiTheme="minorHAnsi" w:cstheme="minorHAnsi"/>
          <w:b/>
          <w:bCs/>
          <w:lang w:val="en-IE" w:eastAsia="en-US"/>
        </w:rPr>
        <w:t xml:space="preserve">Table </w:t>
      </w:r>
      <w:r>
        <w:rPr>
          <w:rFonts w:asciiTheme="minorHAnsi" w:eastAsia="Calibri" w:hAnsiTheme="minorHAnsi" w:cstheme="minorHAnsi"/>
          <w:b/>
          <w:bCs/>
          <w:lang w:val="en-IE" w:eastAsia="en-US"/>
        </w:rPr>
        <w:t>3.2</w:t>
      </w:r>
      <w:r w:rsidRPr="0094743E">
        <w:rPr>
          <w:rFonts w:asciiTheme="minorHAnsi" w:eastAsia="Calibri" w:hAnsiTheme="minorHAnsi" w:cstheme="minorHAnsi"/>
          <w:b/>
          <w:bCs/>
          <w:lang w:val="en-IE" w:eastAsia="en-US"/>
        </w:rPr>
        <w:t xml:space="preserve"> – </w:t>
      </w:r>
      <w:r>
        <w:rPr>
          <w:rFonts w:asciiTheme="minorHAnsi" w:eastAsia="Calibri" w:hAnsiTheme="minorHAnsi" w:cstheme="minorHAnsi"/>
          <w:b/>
          <w:bCs/>
          <w:lang w:eastAsia="en-US"/>
        </w:rPr>
        <w:t>Service Elements (Total 300 marks)</w:t>
      </w:r>
    </w:p>
    <w:tbl>
      <w:tblPr>
        <w:tblStyle w:val="TableGrid2"/>
        <w:tblW w:w="0" w:type="auto"/>
        <w:jc w:val="center"/>
        <w:tblInd w:w="0" w:type="dxa"/>
        <w:tblLook w:val="04A0" w:firstRow="1" w:lastRow="0" w:firstColumn="1" w:lastColumn="0" w:noHBand="0" w:noVBand="1"/>
      </w:tblPr>
      <w:tblGrid>
        <w:gridCol w:w="983"/>
        <w:gridCol w:w="4570"/>
        <w:gridCol w:w="1489"/>
        <w:gridCol w:w="1974"/>
      </w:tblGrid>
      <w:tr w:rsidR="00AD5F86" w:rsidRPr="0094743E" w14:paraId="1E941633" w14:textId="77777777" w:rsidTr="000A17A0">
        <w:trPr>
          <w:jc w:val="center"/>
        </w:trPr>
        <w:tc>
          <w:tcPr>
            <w:tcW w:w="9019" w:type="dxa"/>
            <w:gridSpan w:val="4"/>
            <w:tcBorders>
              <w:top w:val="single" w:sz="4" w:space="0" w:color="auto"/>
              <w:left w:val="single" w:sz="4" w:space="0" w:color="auto"/>
              <w:bottom w:val="single" w:sz="4" w:space="0" w:color="auto"/>
              <w:right w:val="single" w:sz="4" w:space="0" w:color="auto"/>
            </w:tcBorders>
          </w:tcPr>
          <w:p w14:paraId="485922AD" w14:textId="77777777" w:rsidR="00AD5F86" w:rsidRPr="0094743E" w:rsidRDefault="00AD5F86" w:rsidP="000A17A0">
            <w:pPr>
              <w:autoSpaceDE/>
              <w:adjustRightInd/>
              <w:spacing w:after="160" w:line="256" w:lineRule="auto"/>
              <w:ind w:left="169"/>
              <w:jc w:val="center"/>
              <w:rPr>
                <w:rFonts w:asciiTheme="minorHAnsi" w:hAnsiTheme="minorHAnsi" w:cstheme="minorHAnsi"/>
                <w:b/>
                <w:bCs/>
                <w:lang w:val="en-IE" w:eastAsia="en-US"/>
              </w:rPr>
            </w:pPr>
            <w:r>
              <w:rPr>
                <w:rFonts w:asciiTheme="minorHAnsi" w:hAnsiTheme="minorHAnsi" w:cstheme="minorHAnsi"/>
                <w:b/>
                <w:bCs/>
                <w:lang w:val="en-IE" w:eastAsia="en-US"/>
              </w:rPr>
              <w:t>Table 3.2 – Service Elements (Total Maximum 300 marks)</w:t>
            </w:r>
          </w:p>
        </w:tc>
      </w:tr>
      <w:tr w:rsidR="00AD5F86" w:rsidRPr="0094743E" w14:paraId="4432E10A" w14:textId="77777777" w:rsidTr="000A17A0">
        <w:trPr>
          <w:jc w:val="center"/>
        </w:trPr>
        <w:tc>
          <w:tcPr>
            <w:tcW w:w="988" w:type="dxa"/>
            <w:tcBorders>
              <w:top w:val="single" w:sz="4" w:space="0" w:color="auto"/>
              <w:left w:val="single" w:sz="4" w:space="0" w:color="auto"/>
              <w:bottom w:val="single" w:sz="4" w:space="0" w:color="auto"/>
              <w:right w:val="single" w:sz="4" w:space="0" w:color="auto"/>
            </w:tcBorders>
          </w:tcPr>
          <w:p w14:paraId="322463B7" w14:textId="77777777" w:rsidR="00AD5F86" w:rsidRPr="0094743E" w:rsidRDefault="00AD5F86" w:rsidP="000A17A0">
            <w:pPr>
              <w:autoSpaceDE/>
              <w:adjustRightInd/>
              <w:spacing w:after="160" w:line="256" w:lineRule="auto"/>
              <w:rPr>
                <w:rFonts w:asciiTheme="minorHAnsi" w:hAnsiTheme="minorHAnsi" w:cstheme="minorHAnsi"/>
                <w:b/>
                <w:bCs/>
                <w:lang w:val="en-IE" w:eastAsia="en-US"/>
              </w:rPr>
            </w:pPr>
            <w:r>
              <w:rPr>
                <w:rFonts w:asciiTheme="minorHAnsi" w:hAnsiTheme="minorHAnsi" w:cstheme="minorHAnsi"/>
                <w:b/>
                <w:bCs/>
                <w:lang w:val="en-IE" w:eastAsia="en-US"/>
              </w:rPr>
              <w:lastRenderedPageBreak/>
              <w:t>Item</w:t>
            </w:r>
          </w:p>
        </w:tc>
        <w:tc>
          <w:tcPr>
            <w:tcW w:w="4612" w:type="dxa"/>
            <w:tcBorders>
              <w:top w:val="single" w:sz="4" w:space="0" w:color="auto"/>
              <w:left w:val="single" w:sz="4" w:space="0" w:color="auto"/>
              <w:bottom w:val="single" w:sz="4" w:space="0" w:color="auto"/>
              <w:right w:val="single" w:sz="4" w:space="0" w:color="auto"/>
            </w:tcBorders>
          </w:tcPr>
          <w:p w14:paraId="39123E5F" w14:textId="77777777" w:rsidR="00AD5F86" w:rsidRPr="0094743E" w:rsidRDefault="00AD5F86" w:rsidP="000A17A0">
            <w:pPr>
              <w:autoSpaceDE/>
              <w:adjustRightInd/>
              <w:spacing w:after="160" w:line="256" w:lineRule="auto"/>
              <w:ind w:left="709"/>
              <w:rPr>
                <w:rFonts w:asciiTheme="minorHAnsi" w:hAnsiTheme="minorHAnsi" w:cstheme="minorHAnsi"/>
                <w:b/>
                <w:bCs/>
                <w:lang w:val="en-IE" w:eastAsia="en-US"/>
              </w:rPr>
            </w:pPr>
            <w:r>
              <w:rPr>
                <w:rFonts w:asciiTheme="minorHAnsi" w:hAnsiTheme="minorHAnsi" w:cstheme="minorHAnsi"/>
                <w:b/>
                <w:bCs/>
                <w:lang w:val="en-IE" w:eastAsia="en-US"/>
              </w:rPr>
              <w:t>Description</w:t>
            </w:r>
          </w:p>
        </w:tc>
        <w:tc>
          <w:tcPr>
            <w:tcW w:w="1427" w:type="dxa"/>
            <w:tcBorders>
              <w:top w:val="single" w:sz="4" w:space="0" w:color="auto"/>
              <w:left w:val="single" w:sz="4" w:space="0" w:color="auto"/>
              <w:bottom w:val="single" w:sz="4" w:space="0" w:color="auto"/>
              <w:right w:val="single" w:sz="4" w:space="0" w:color="auto"/>
            </w:tcBorders>
            <w:hideMark/>
          </w:tcPr>
          <w:p w14:paraId="0BEF82A7" w14:textId="77777777" w:rsidR="00AD5F86" w:rsidRPr="0094743E" w:rsidRDefault="00AD5F86" w:rsidP="000A17A0">
            <w:pPr>
              <w:autoSpaceDE/>
              <w:adjustRightInd/>
              <w:spacing w:after="160" w:line="256" w:lineRule="auto"/>
              <w:ind w:left="194"/>
              <w:jc w:val="center"/>
              <w:rPr>
                <w:rFonts w:asciiTheme="minorHAnsi" w:hAnsiTheme="minorHAnsi" w:cstheme="minorHAnsi"/>
                <w:b/>
                <w:bCs/>
                <w:lang w:val="en-IE" w:eastAsia="en-US"/>
              </w:rPr>
            </w:pPr>
            <w:r w:rsidRPr="0094743E">
              <w:rPr>
                <w:rFonts w:asciiTheme="minorHAnsi" w:hAnsiTheme="minorHAnsi" w:cstheme="minorHAnsi"/>
                <w:b/>
                <w:bCs/>
                <w:lang w:val="en-IE" w:eastAsia="en-US"/>
              </w:rPr>
              <w:t>Maximum  Marks available</w:t>
            </w:r>
          </w:p>
        </w:tc>
        <w:tc>
          <w:tcPr>
            <w:tcW w:w="1992" w:type="dxa"/>
            <w:tcBorders>
              <w:top w:val="single" w:sz="4" w:space="0" w:color="auto"/>
              <w:left w:val="single" w:sz="4" w:space="0" w:color="auto"/>
              <w:bottom w:val="single" w:sz="4" w:space="0" w:color="auto"/>
              <w:right w:val="single" w:sz="4" w:space="0" w:color="auto"/>
            </w:tcBorders>
            <w:hideMark/>
          </w:tcPr>
          <w:p w14:paraId="7E7406B9" w14:textId="77777777" w:rsidR="00AD5F86" w:rsidRPr="0094743E" w:rsidRDefault="00AD5F86" w:rsidP="000A17A0">
            <w:pPr>
              <w:autoSpaceDE/>
              <w:adjustRightInd/>
              <w:spacing w:after="160" w:line="256" w:lineRule="auto"/>
              <w:ind w:left="169"/>
              <w:jc w:val="center"/>
              <w:rPr>
                <w:rFonts w:asciiTheme="minorHAnsi" w:hAnsiTheme="minorHAnsi" w:cstheme="minorHAnsi"/>
                <w:b/>
                <w:bCs/>
                <w:lang w:val="en-IE" w:eastAsia="en-US"/>
              </w:rPr>
            </w:pPr>
            <w:r w:rsidRPr="0094743E">
              <w:rPr>
                <w:rFonts w:asciiTheme="minorHAnsi" w:hAnsiTheme="minorHAnsi" w:cstheme="minorHAnsi"/>
                <w:b/>
                <w:bCs/>
                <w:lang w:val="en-IE" w:eastAsia="en-US"/>
              </w:rPr>
              <w:t>Unit Price (excl. VAT)        €</w:t>
            </w:r>
          </w:p>
        </w:tc>
      </w:tr>
      <w:tr w:rsidR="00AD5F86" w:rsidRPr="0094743E" w14:paraId="34A598AF" w14:textId="77777777" w:rsidTr="000A17A0">
        <w:trPr>
          <w:trHeight w:val="826"/>
          <w:jc w:val="center"/>
        </w:trPr>
        <w:tc>
          <w:tcPr>
            <w:tcW w:w="988" w:type="dxa"/>
            <w:tcBorders>
              <w:top w:val="single" w:sz="4" w:space="0" w:color="auto"/>
              <w:left w:val="single" w:sz="4" w:space="0" w:color="auto"/>
              <w:bottom w:val="single" w:sz="4" w:space="0" w:color="auto"/>
              <w:right w:val="single" w:sz="4" w:space="0" w:color="auto"/>
            </w:tcBorders>
          </w:tcPr>
          <w:p w14:paraId="6EF023F5" w14:textId="77777777" w:rsidR="00AD5F86" w:rsidRPr="0094743E" w:rsidRDefault="00AD5F86" w:rsidP="000A17A0">
            <w:pPr>
              <w:autoSpaceDE/>
              <w:adjustRightInd/>
              <w:spacing w:after="160" w:line="256" w:lineRule="auto"/>
              <w:ind w:left="164"/>
              <w:rPr>
                <w:rFonts w:asciiTheme="minorHAnsi" w:hAnsiTheme="minorHAnsi" w:cstheme="minorHAnsi"/>
                <w:kern w:val="2"/>
              </w:rPr>
            </w:pPr>
            <w:r>
              <w:rPr>
                <w:rFonts w:asciiTheme="minorHAnsi" w:hAnsiTheme="minorHAnsi" w:cstheme="minorHAnsi"/>
                <w:kern w:val="2"/>
              </w:rPr>
              <w:t>1</w:t>
            </w:r>
          </w:p>
        </w:tc>
        <w:tc>
          <w:tcPr>
            <w:tcW w:w="4612" w:type="dxa"/>
            <w:tcBorders>
              <w:top w:val="single" w:sz="4" w:space="0" w:color="auto"/>
              <w:left w:val="single" w:sz="4" w:space="0" w:color="auto"/>
              <w:bottom w:val="single" w:sz="4" w:space="0" w:color="auto"/>
              <w:right w:val="single" w:sz="4" w:space="0" w:color="auto"/>
            </w:tcBorders>
            <w:vAlign w:val="center"/>
            <w:hideMark/>
          </w:tcPr>
          <w:p w14:paraId="0DA05A5B" w14:textId="77777777" w:rsidR="00AD5F86" w:rsidRPr="0094743E" w:rsidRDefault="00AD5F86" w:rsidP="000A17A0">
            <w:pPr>
              <w:autoSpaceDE/>
              <w:adjustRightInd/>
              <w:spacing w:after="160" w:line="256" w:lineRule="auto"/>
              <w:ind w:left="164"/>
              <w:jc w:val="left"/>
              <w:rPr>
                <w:rFonts w:asciiTheme="minorHAnsi" w:hAnsiTheme="minorHAnsi" w:cstheme="minorHAnsi"/>
                <w:bCs/>
                <w:lang w:val="en-IE" w:eastAsia="en-US"/>
              </w:rPr>
            </w:pPr>
            <w:r w:rsidRPr="0094743E">
              <w:rPr>
                <w:rFonts w:asciiTheme="minorHAnsi" w:hAnsiTheme="minorHAnsi" w:cstheme="minorHAnsi"/>
                <w:kern w:val="2"/>
              </w:rPr>
              <w:t xml:space="preserve">Fixed Unit Price for </w:t>
            </w:r>
            <w:r>
              <w:rPr>
                <w:rFonts w:asciiTheme="minorHAnsi" w:hAnsiTheme="minorHAnsi" w:cstheme="minorHAnsi"/>
                <w:kern w:val="2"/>
              </w:rPr>
              <w:t xml:space="preserve">First </w:t>
            </w:r>
            <w:r w:rsidRPr="0094743E">
              <w:rPr>
                <w:rFonts w:asciiTheme="minorHAnsi" w:hAnsiTheme="minorHAnsi" w:cstheme="minorHAnsi"/>
                <w:kern w:val="2"/>
              </w:rPr>
              <w:t xml:space="preserve">Letter of Demand </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BB6FB58" w14:textId="77777777" w:rsidR="00AD5F86" w:rsidRPr="0094743E" w:rsidRDefault="00AD5F86" w:rsidP="000A17A0">
            <w:pPr>
              <w:autoSpaceDE/>
              <w:adjustRightInd/>
              <w:spacing w:after="160" w:line="256" w:lineRule="auto"/>
              <w:ind w:left="194"/>
              <w:jc w:val="center"/>
              <w:rPr>
                <w:rFonts w:asciiTheme="minorHAnsi" w:hAnsiTheme="minorHAnsi" w:cstheme="minorHAnsi"/>
                <w:bCs/>
                <w:lang w:val="en-IE" w:eastAsia="en-US"/>
              </w:rPr>
            </w:pPr>
            <w:r w:rsidRPr="0094743E">
              <w:rPr>
                <w:rFonts w:asciiTheme="minorHAnsi" w:hAnsiTheme="minorHAnsi" w:cstheme="minorHAnsi"/>
                <w:bCs/>
                <w:lang w:val="en-IE" w:eastAsia="en-US"/>
              </w:rPr>
              <w:t>1</w:t>
            </w:r>
            <w:r>
              <w:rPr>
                <w:rFonts w:asciiTheme="minorHAnsi" w:hAnsiTheme="minorHAnsi" w:cstheme="minorHAnsi"/>
                <w:bCs/>
                <w:lang w:val="en-IE" w:eastAsia="en-US"/>
              </w:rPr>
              <w:t>0</w:t>
            </w:r>
            <w:r w:rsidRPr="0094743E">
              <w:rPr>
                <w:rFonts w:asciiTheme="minorHAnsi" w:hAnsiTheme="minorHAnsi" w:cstheme="minorHAnsi"/>
                <w:bCs/>
                <w:lang w:val="en-IE" w:eastAsia="en-US"/>
              </w:rPr>
              <w:t>0</w:t>
            </w:r>
          </w:p>
        </w:tc>
        <w:tc>
          <w:tcPr>
            <w:tcW w:w="1992" w:type="dxa"/>
            <w:tcBorders>
              <w:top w:val="single" w:sz="4" w:space="0" w:color="auto"/>
              <w:left w:val="single" w:sz="4" w:space="0" w:color="auto"/>
              <w:bottom w:val="single" w:sz="4" w:space="0" w:color="auto"/>
              <w:right w:val="single" w:sz="4" w:space="0" w:color="auto"/>
            </w:tcBorders>
            <w:vAlign w:val="center"/>
          </w:tcPr>
          <w:p w14:paraId="15D55835" w14:textId="77777777" w:rsidR="00AD5F86" w:rsidRPr="0094743E" w:rsidRDefault="00AD5F86" w:rsidP="000A17A0">
            <w:pPr>
              <w:autoSpaceDE/>
              <w:adjustRightInd/>
              <w:spacing w:after="160" w:line="256" w:lineRule="auto"/>
              <w:ind w:left="169"/>
              <w:jc w:val="center"/>
              <w:rPr>
                <w:rFonts w:asciiTheme="minorHAnsi" w:hAnsiTheme="minorHAnsi" w:cstheme="minorHAnsi"/>
                <w:bCs/>
                <w:lang w:val="en-IE" w:eastAsia="en-US"/>
              </w:rPr>
            </w:pPr>
          </w:p>
        </w:tc>
      </w:tr>
      <w:tr w:rsidR="00AD5F86" w:rsidRPr="0094743E" w14:paraId="764F4540" w14:textId="77777777" w:rsidTr="000A17A0">
        <w:trPr>
          <w:trHeight w:val="826"/>
          <w:jc w:val="center"/>
        </w:trPr>
        <w:tc>
          <w:tcPr>
            <w:tcW w:w="988" w:type="dxa"/>
            <w:tcBorders>
              <w:top w:val="single" w:sz="4" w:space="0" w:color="auto"/>
              <w:left w:val="single" w:sz="4" w:space="0" w:color="auto"/>
              <w:bottom w:val="single" w:sz="4" w:space="0" w:color="auto"/>
              <w:right w:val="single" w:sz="4" w:space="0" w:color="auto"/>
            </w:tcBorders>
          </w:tcPr>
          <w:p w14:paraId="4FDF4A97" w14:textId="77777777" w:rsidR="00AD5F86" w:rsidRPr="0094743E" w:rsidRDefault="00AD5F86" w:rsidP="000A17A0">
            <w:pPr>
              <w:autoSpaceDE/>
              <w:adjustRightInd/>
              <w:spacing w:after="160" w:line="256" w:lineRule="auto"/>
              <w:ind w:left="164"/>
              <w:rPr>
                <w:rFonts w:asciiTheme="minorHAnsi" w:hAnsiTheme="minorHAnsi" w:cstheme="minorHAnsi"/>
                <w:kern w:val="2"/>
              </w:rPr>
            </w:pPr>
            <w:r>
              <w:rPr>
                <w:rFonts w:asciiTheme="minorHAnsi" w:hAnsiTheme="minorHAnsi" w:cstheme="minorHAnsi"/>
                <w:kern w:val="2"/>
              </w:rPr>
              <w:t>2</w:t>
            </w:r>
          </w:p>
        </w:tc>
        <w:tc>
          <w:tcPr>
            <w:tcW w:w="4612" w:type="dxa"/>
            <w:tcBorders>
              <w:top w:val="single" w:sz="4" w:space="0" w:color="auto"/>
              <w:left w:val="single" w:sz="4" w:space="0" w:color="auto"/>
              <w:bottom w:val="single" w:sz="4" w:space="0" w:color="auto"/>
              <w:right w:val="single" w:sz="4" w:space="0" w:color="auto"/>
            </w:tcBorders>
            <w:vAlign w:val="center"/>
          </w:tcPr>
          <w:p w14:paraId="443D549A" w14:textId="77777777" w:rsidR="00AD5F86" w:rsidRPr="0094743E" w:rsidRDefault="00AD5F86" w:rsidP="000A17A0">
            <w:pPr>
              <w:autoSpaceDE/>
              <w:adjustRightInd/>
              <w:spacing w:after="160" w:line="256" w:lineRule="auto"/>
              <w:ind w:left="164"/>
              <w:rPr>
                <w:rFonts w:asciiTheme="minorHAnsi" w:hAnsiTheme="minorHAnsi" w:cstheme="minorHAnsi"/>
                <w:kern w:val="2"/>
              </w:rPr>
            </w:pPr>
            <w:r w:rsidRPr="0094743E">
              <w:rPr>
                <w:rFonts w:asciiTheme="minorHAnsi" w:hAnsiTheme="minorHAnsi" w:cstheme="minorHAnsi"/>
                <w:kern w:val="2"/>
              </w:rPr>
              <w:t xml:space="preserve">Fixed Unit Price for </w:t>
            </w:r>
            <w:r>
              <w:rPr>
                <w:rFonts w:asciiTheme="minorHAnsi" w:hAnsiTheme="minorHAnsi" w:cstheme="minorHAnsi"/>
                <w:kern w:val="2"/>
              </w:rPr>
              <w:t xml:space="preserve">First </w:t>
            </w:r>
            <w:r w:rsidRPr="0094743E">
              <w:rPr>
                <w:rFonts w:asciiTheme="minorHAnsi" w:hAnsiTheme="minorHAnsi" w:cstheme="minorHAnsi"/>
                <w:kern w:val="2"/>
              </w:rPr>
              <w:t>Letter of Demand</w:t>
            </w:r>
            <w:r>
              <w:rPr>
                <w:rFonts w:asciiTheme="minorHAnsi" w:hAnsiTheme="minorHAnsi" w:cstheme="minorHAnsi"/>
                <w:kern w:val="2"/>
              </w:rPr>
              <w:t xml:space="preserve"> issued by email</w:t>
            </w:r>
          </w:p>
        </w:tc>
        <w:tc>
          <w:tcPr>
            <w:tcW w:w="1427" w:type="dxa"/>
            <w:tcBorders>
              <w:top w:val="single" w:sz="4" w:space="0" w:color="auto"/>
              <w:left w:val="single" w:sz="4" w:space="0" w:color="auto"/>
              <w:bottom w:val="single" w:sz="4" w:space="0" w:color="auto"/>
              <w:right w:val="single" w:sz="4" w:space="0" w:color="auto"/>
            </w:tcBorders>
            <w:vAlign w:val="center"/>
          </w:tcPr>
          <w:p w14:paraId="7FE3784D" w14:textId="77777777" w:rsidR="00AD5F86" w:rsidRPr="0094743E" w:rsidRDefault="00AD5F86" w:rsidP="000A17A0">
            <w:pPr>
              <w:autoSpaceDE/>
              <w:adjustRightInd/>
              <w:spacing w:after="160" w:line="256" w:lineRule="auto"/>
              <w:ind w:left="194"/>
              <w:jc w:val="center"/>
              <w:rPr>
                <w:rFonts w:asciiTheme="minorHAnsi" w:hAnsiTheme="minorHAnsi" w:cstheme="minorHAnsi"/>
                <w:bCs/>
                <w:lang w:val="en-IE" w:eastAsia="en-US"/>
              </w:rPr>
            </w:pPr>
            <w:r>
              <w:rPr>
                <w:rFonts w:asciiTheme="minorHAnsi" w:hAnsiTheme="minorHAnsi" w:cstheme="minorHAnsi"/>
                <w:bCs/>
                <w:lang w:val="en-IE" w:eastAsia="en-US"/>
              </w:rPr>
              <w:t>50</w:t>
            </w:r>
          </w:p>
        </w:tc>
        <w:tc>
          <w:tcPr>
            <w:tcW w:w="1992" w:type="dxa"/>
            <w:tcBorders>
              <w:top w:val="single" w:sz="4" w:space="0" w:color="auto"/>
              <w:left w:val="single" w:sz="4" w:space="0" w:color="auto"/>
              <w:bottom w:val="single" w:sz="4" w:space="0" w:color="auto"/>
              <w:right w:val="single" w:sz="4" w:space="0" w:color="auto"/>
            </w:tcBorders>
            <w:vAlign w:val="center"/>
          </w:tcPr>
          <w:p w14:paraId="548B1270" w14:textId="77777777" w:rsidR="00AD5F86" w:rsidRPr="0094743E" w:rsidRDefault="00AD5F86" w:rsidP="000A17A0">
            <w:pPr>
              <w:autoSpaceDE/>
              <w:adjustRightInd/>
              <w:spacing w:after="160" w:line="256" w:lineRule="auto"/>
              <w:ind w:left="169"/>
              <w:jc w:val="center"/>
              <w:rPr>
                <w:rFonts w:asciiTheme="minorHAnsi" w:hAnsiTheme="minorHAnsi" w:cstheme="minorHAnsi"/>
                <w:bCs/>
                <w:lang w:val="en-IE" w:eastAsia="en-US"/>
              </w:rPr>
            </w:pPr>
          </w:p>
        </w:tc>
      </w:tr>
      <w:tr w:rsidR="00AD5F86" w:rsidRPr="0094743E" w14:paraId="67EF911C" w14:textId="77777777" w:rsidTr="000A17A0">
        <w:trPr>
          <w:trHeight w:val="826"/>
          <w:jc w:val="center"/>
        </w:trPr>
        <w:tc>
          <w:tcPr>
            <w:tcW w:w="988" w:type="dxa"/>
            <w:tcBorders>
              <w:top w:val="single" w:sz="4" w:space="0" w:color="auto"/>
              <w:left w:val="single" w:sz="4" w:space="0" w:color="auto"/>
              <w:bottom w:val="single" w:sz="4" w:space="0" w:color="auto"/>
              <w:right w:val="single" w:sz="4" w:space="0" w:color="auto"/>
            </w:tcBorders>
          </w:tcPr>
          <w:p w14:paraId="5A209E09" w14:textId="77777777" w:rsidR="00AD5F86" w:rsidRPr="0094743E" w:rsidRDefault="00AD5F86" w:rsidP="000A17A0">
            <w:pPr>
              <w:autoSpaceDE/>
              <w:adjustRightInd/>
              <w:spacing w:after="160" w:line="256" w:lineRule="auto"/>
              <w:ind w:left="164"/>
              <w:rPr>
                <w:rFonts w:asciiTheme="minorHAnsi" w:hAnsiTheme="minorHAnsi" w:cstheme="minorHAnsi"/>
                <w:kern w:val="2"/>
              </w:rPr>
            </w:pPr>
            <w:r>
              <w:rPr>
                <w:rFonts w:asciiTheme="minorHAnsi" w:hAnsiTheme="minorHAnsi" w:cstheme="minorHAnsi"/>
                <w:kern w:val="2"/>
              </w:rPr>
              <w:t>3</w:t>
            </w:r>
          </w:p>
        </w:tc>
        <w:tc>
          <w:tcPr>
            <w:tcW w:w="4612" w:type="dxa"/>
            <w:tcBorders>
              <w:top w:val="single" w:sz="4" w:space="0" w:color="auto"/>
              <w:left w:val="single" w:sz="4" w:space="0" w:color="auto"/>
              <w:bottom w:val="single" w:sz="4" w:space="0" w:color="auto"/>
              <w:right w:val="single" w:sz="4" w:space="0" w:color="auto"/>
            </w:tcBorders>
            <w:vAlign w:val="center"/>
          </w:tcPr>
          <w:p w14:paraId="305BADCA" w14:textId="77777777" w:rsidR="00AD5F86" w:rsidRPr="0094743E" w:rsidRDefault="00AD5F86" w:rsidP="000A17A0">
            <w:pPr>
              <w:autoSpaceDE/>
              <w:adjustRightInd/>
              <w:spacing w:after="160" w:line="256" w:lineRule="auto"/>
              <w:ind w:left="164"/>
              <w:rPr>
                <w:rFonts w:asciiTheme="minorHAnsi" w:hAnsiTheme="minorHAnsi" w:cstheme="minorHAnsi"/>
                <w:kern w:val="2"/>
              </w:rPr>
            </w:pPr>
            <w:r w:rsidRPr="0094743E">
              <w:rPr>
                <w:rFonts w:asciiTheme="minorHAnsi" w:hAnsiTheme="minorHAnsi" w:cstheme="minorHAnsi"/>
                <w:kern w:val="2"/>
              </w:rPr>
              <w:t xml:space="preserve">Fixed Unit Price for </w:t>
            </w:r>
            <w:r>
              <w:rPr>
                <w:rFonts w:asciiTheme="minorHAnsi" w:hAnsiTheme="minorHAnsi" w:cstheme="minorHAnsi"/>
                <w:kern w:val="2"/>
              </w:rPr>
              <w:t>contacting debtor by phone call</w:t>
            </w:r>
          </w:p>
        </w:tc>
        <w:tc>
          <w:tcPr>
            <w:tcW w:w="1427" w:type="dxa"/>
            <w:tcBorders>
              <w:top w:val="single" w:sz="4" w:space="0" w:color="auto"/>
              <w:left w:val="single" w:sz="4" w:space="0" w:color="auto"/>
              <w:bottom w:val="single" w:sz="4" w:space="0" w:color="auto"/>
              <w:right w:val="single" w:sz="4" w:space="0" w:color="auto"/>
            </w:tcBorders>
            <w:vAlign w:val="center"/>
          </w:tcPr>
          <w:p w14:paraId="4826F526" w14:textId="77777777" w:rsidR="00AD5F86" w:rsidRPr="0094743E" w:rsidRDefault="00AD5F86" w:rsidP="000A17A0">
            <w:pPr>
              <w:autoSpaceDE/>
              <w:adjustRightInd/>
              <w:spacing w:after="160" w:line="256" w:lineRule="auto"/>
              <w:ind w:left="194"/>
              <w:jc w:val="center"/>
              <w:rPr>
                <w:rFonts w:asciiTheme="minorHAnsi" w:hAnsiTheme="minorHAnsi" w:cstheme="minorHAnsi"/>
                <w:bCs/>
                <w:lang w:val="en-IE" w:eastAsia="en-US"/>
              </w:rPr>
            </w:pPr>
            <w:r>
              <w:rPr>
                <w:rFonts w:asciiTheme="minorHAnsi" w:hAnsiTheme="minorHAnsi" w:cstheme="minorHAnsi"/>
                <w:bCs/>
                <w:lang w:val="en-IE" w:eastAsia="en-US"/>
              </w:rPr>
              <w:t>50</w:t>
            </w:r>
          </w:p>
        </w:tc>
        <w:tc>
          <w:tcPr>
            <w:tcW w:w="1992" w:type="dxa"/>
            <w:tcBorders>
              <w:top w:val="single" w:sz="4" w:space="0" w:color="auto"/>
              <w:left w:val="single" w:sz="4" w:space="0" w:color="auto"/>
              <w:bottom w:val="single" w:sz="4" w:space="0" w:color="auto"/>
              <w:right w:val="single" w:sz="4" w:space="0" w:color="auto"/>
            </w:tcBorders>
            <w:vAlign w:val="center"/>
          </w:tcPr>
          <w:p w14:paraId="199799AF" w14:textId="77777777" w:rsidR="00AD5F86" w:rsidRPr="0094743E" w:rsidRDefault="00AD5F86" w:rsidP="000A17A0">
            <w:pPr>
              <w:autoSpaceDE/>
              <w:adjustRightInd/>
              <w:spacing w:after="160" w:line="256" w:lineRule="auto"/>
              <w:ind w:left="169"/>
              <w:jc w:val="center"/>
              <w:rPr>
                <w:rFonts w:asciiTheme="minorHAnsi" w:hAnsiTheme="minorHAnsi" w:cstheme="minorHAnsi"/>
                <w:bCs/>
                <w:lang w:val="en-IE" w:eastAsia="en-US"/>
              </w:rPr>
            </w:pPr>
          </w:p>
        </w:tc>
      </w:tr>
      <w:tr w:rsidR="00AD5F86" w:rsidRPr="0094743E" w14:paraId="60464304" w14:textId="77777777" w:rsidTr="000A17A0">
        <w:trPr>
          <w:trHeight w:val="826"/>
          <w:jc w:val="center"/>
        </w:trPr>
        <w:tc>
          <w:tcPr>
            <w:tcW w:w="988" w:type="dxa"/>
            <w:tcBorders>
              <w:top w:val="single" w:sz="4" w:space="0" w:color="auto"/>
              <w:left w:val="single" w:sz="4" w:space="0" w:color="auto"/>
              <w:bottom w:val="single" w:sz="4" w:space="0" w:color="auto"/>
              <w:right w:val="single" w:sz="4" w:space="0" w:color="auto"/>
            </w:tcBorders>
          </w:tcPr>
          <w:p w14:paraId="6C9EC466" w14:textId="77777777" w:rsidR="00AD5F86" w:rsidRPr="0094743E" w:rsidRDefault="00AD5F86" w:rsidP="000A17A0">
            <w:pPr>
              <w:autoSpaceDE/>
              <w:adjustRightInd/>
              <w:spacing w:after="160" w:line="256" w:lineRule="auto"/>
              <w:ind w:left="164"/>
              <w:rPr>
                <w:rFonts w:asciiTheme="minorHAnsi" w:hAnsiTheme="minorHAnsi" w:cstheme="minorHAnsi"/>
                <w:kern w:val="2"/>
              </w:rPr>
            </w:pPr>
            <w:r>
              <w:rPr>
                <w:rFonts w:asciiTheme="minorHAnsi" w:hAnsiTheme="minorHAnsi" w:cstheme="minorHAnsi"/>
                <w:kern w:val="2"/>
              </w:rPr>
              <w:t>4</w:t>
            </w:r>
          </w:p>
        </w:tc>
        <w:tc>
          <w:tcPr>
            <w:tcW w:w="4612" w:type="dxa"/>
            <w:tcBorders>
              <w:top w:val="single" w:sz="4" w:space="0" w:color="auto"/>
              <w:left w:val="single" w:sz="4" w:space="0" w:color="auto"/>
              <w:bottom w:val="single" w:sz="4" w:space="0" w:color="auto"/>
              <w:right w:val="single" w:sz="4" w:space="0" w:color="auto"/>
            </w:tcBorders>
            <w:vAlign w:val="center"/>
          </w:tcPr>
          <w:p w14:paraId="21E1661B" w14:textId="77777777" w:rsidR="00AD5F86" w:rsidRPr="0094743E" w:rsidRDefault="00AD5F86" w:rsidP="000A17A0">
            <w:pPr>
              <w:autoSpaceDE/>
              <w:adjustRightInd/>
              <w:spacing w:after="160" w:line="256" w:lineRule="auto"/>
              <w:ind w:left="164"/>
              <w:rPr>
                <w:rFonts w:asciiTheme="minorHAnsi" w:hAnsiTheme="minorHAnsi" w:cstheme="minorHAnsi"/>
                <w:kern w:val="2"/>
              </w:rPr>
            </w:pPr>
            <w:r w:rsidRPr="0094743E">
              <w:rPr>
                <w:rFonts w:asciiTheme="minorHAnsi" w:hAnsiTheme="minorHAnsi" w:cstheme="minorHAnsi"/>
                <w:kern w:val="2"/>
              </w:rPr>
              <w:t xml:space="preserve">Fixed Unit Price for </w:t>
            </w:r>
            <w:r>
              <w:rPr>
                <w:rFonts w:asciiTheme="minorHAnsi" w:hAnsiTheme="minorHAnsi" w:cstheme="minorHAnsi"/>
                <w:kern w:val="2"/>
              </w:rPr>
              <w:t xml:space="preserve">Final </w:t>
            </w:r>
            <w:r w:rsidRPr="0094743E">
              <w:rPr>
                <w:rFonts w:asciiTheme="minorHAnsi" w:hAnsiTheme="minorHAnsi" w:cstheme="minorHAnsi"/>
                <w:kern w:val="2"/>
              </w:rPr>
              <w:t>Letter of Demand</w:t>
            </w:r>
          </w:p>
        </w:tc>
        <w:tc>
          <w:tcPr>
            <w:tcW w:w="1427" w:type="dxa"/>
            <w:tcBorders>
              <w:top w:val="single" w:sz="4" w:space="0" w:color="auto"/>
              <w:left w:val="single" w:sz="4" w:space="0" w:color="auto"/>
              <w:bottom w:val="single" w:sz="4" w:space="0" w:color="auto"/>
              <w:right w:val="single" w:sz="4" w:space="0" w:color="auto"/>
            </w:tcBorders>
            <w:vAlign w:val="center"/>
          </w:tcPr>
          <w:p w14:paraId="5F16E6C2" w14:textId="77777777" w:rsidR="00AD5F86" w:rsidRPr="0094743E" w:rsidRDefault="00AD5F86" w:rsidP="000A17A0">
            <w:pPr>
              <w:autoSpaceDE/>
              <w:adjustRightInd/>
              <w:spacing w:after="160" w:line="256" w:lineRule="auto"/>
              <w:ind w:left="194"/>
              <w:jc w:val="center"/>
              <w:rPr>
                <w:rFonts w:asciiTheme="minorHAnsi" w:hAnsiTheme="minorHAnsi" w:cstheme="minorHAnsi"/>
                <w:bCs/>
                <w:lang w:val="en-IE" w:eastAsia="en-US"/>
              </w:rPr>
            </w:pPr>
            <w:r>
              <w:rPr>
                <w:rFonts w:asciiTheme="minorHAnsi" w:hAnsiTheme="minorHAnsi" w:cstheme="minorHAnsi"/>
                <w:bCs/>
                <w:lang w:val="en-IE" w:eastAsia="en-US"/>
              </w:rPr>
              <w:t>50</w:t>
            </w:r>
          </w:p>
        </w:tc>
        <w:tc>
          <w:tcPr>
            <w:tcW w:w="1992" w:type="dxa"/>
            <w:tcBorders>
              <w:top w:val="single" w:sz="4" w:space="0" w:color="auto"/>
              <w:left w:val="single" w:sz="4" w:space="0" w:color="auto"/>
              <w:bottom w:val="single" w:sz="4" w:space="0" w:color="auto"/>
              <w:right w:val="single" w:sz="4" w:space="0" w:color="auto"/>
            </w:tcBorders>
            <w:vAlign w:val="center"/>
          </w:tcPr>
          <w:p w14:paraId="0C9F8F39" w14:textId="77777777" w:rsidR="00AD5F86" w:rsidRPr="0094743E" w:rsidRDefault="00AD5F86" w:rsidP="000A17A0">
            <w:pPr>
              <w:autoSpaceDE/>
              <w:adjustRightInd/>
              <w:spacing w:after="160" w:line="256" w:lineRule="auto"/>
              <w:ind w:left="169"/>
              <w:jc w:val="center"/>
              <w:rPr>
                <w:rFonts w:asciiTheme="minorHAnsi" w:hAnsiTheme="minorHAnsi" w:cstheme="minorHAnsi"/>
                <w:bCs/>
                <w:lang w:val="en-IE" w:eastAsia="en-US"/>
              </w:rPr>
            </w:pPr>
          </w:p>
        </w:tc>
      </w:tr>
      <w:tr w:rsidR="00AD5F86" w:rsidRPr="0094743E" w14:paraId="39ECAD8C" w14:textId="77777777" w:rsidTr="000A17A0">
        <w:trPr>
          <w:trHeight w:val="826"/>
          <w:jc w:val="center"/>
        </w:trPr>
        <w:tc>
          <w:tcPr>
            <w:tcW w:w="988" w:type="dxa"/>
            <w:tcBorders>
              <w:top w:val="single" w:sz="4" w:space="0" w:color="auto"/>
              <w:left w:val="single" w:sz="4" w:space="0" w:color="auto"/>
              <w:bottom w:val="single" w:sz="4" w:space="0" w:color="auto"/>
              <w:right w:val="single" w:sz="4" w:space="0" w:color="auto"/>
            </w:tcBorders>
          </w:tcPr>
          <w:p w14:paraId="0285CAF8" w14:textId="77777777" w:rsidR="00AD5F86" w:rsidRPr="0094743E" w:rsidRDefault="00AD5F86" w:rsidP="000A17A0">
            <w:pPr>
              <w:autoSpaceDE/>
              <w:adjustRightInd/>
              <w:spacing w:after="160" w:line="256" w:lineRule="auto"/>
              <w:ind w:left="164"/>
              <w:rPr>
                <w:rFonts w:asciiTheme="minorHAnsi" w:hAnsiTheme="minorHAnsi" w:cstheme="minorHAnsi"/>
                <w:kern w:val="2"/>
              </w:rPr>
            </w:pPr>
            <w:r>
              <w:rPr>
                <w:rFonts w:asciiTheme="minorHAnsi" w:hAnsiTheme="minorHAnsi" w:cstheme="minorHAnsi"/>
                <w:kern w:val="2"/>
              </w:rPr>
              <w:t>5</w:t>
            </w:r>
          </w:p>
        </w:tc>
        <w:tc>
          <w:tcPr>
            <w:tcW w:w="4612" w:type="dxa"/>
            <w:tcBorders>
              <w:top w:val="single" w:sz="4" w:space="0" w:color="auto"/>
              <w:left w:val="single" w:sz="4" w:space="0" w:color="auto"/>
              <w:bottom w:val="single" w:sz="4" w:space="0" w:color="auto"/>
              <w:right w:val="single" w:sz="4" w:space="0" w:color="auto"/>
            </w:tcBorders>
            <w:vAlign w:val="center"/>
          </w:tcPr>
          <w:p w14:paraId="61C84FC1" w14:textId="77777777" w:rsidR="00AD5F86" w:rsidRPr="0094743E" w:rsidRDefault="00AD5F86" w:rsidP="000A17A0">
            <w:pPr>
              <w:autoSpaceDE/>
              <w:adjustRightInd/>
              <w:spacing w:after="160" w:line="256" w:lineRule="auto"/>
              <w:ind w:left="164"/>
              <w:rPr>
                <w:rFonts w:asciiTheme="minorHAnsi" w:hAnsiTheme="minorHAnsi" w:cstheme="minorHAnsi"/>
                <w:kern w:val="2"/>
              </w:rPr>
            </w:pPr>
            <w:r w:rsidRPr="0094743E">
              <w:rPr>
                <w:rFonts w:asciiTheme="minorHAnsi" w:hAnsiTheme="minorHAnsi" w:cstheme="minorHAnsi"/>
                <w:kern w:val="2"/>
              </w:rPr>
              <w:t xml:space="preserve">Fixed Unit Price for </w:t>
            </w:r>
            <w:r>
              <w:rPr>
                <w:rFonts w:asciiTheme="minorHAnsi" w:hAnsiTheme="minorHAnsi" w:cstheme="minorHAnsi"/>
                <w:kern w:val="2"/>
              </w:rPr>
              <w:t>“Track and Trace”</w:t>
            </w:r>
          </w:p>
        </w:tc>
        <w:tc>
          <w:tcPr>
            <w:tcW w:w="1427" w:type="dxa"/>
            <w:tcBorders>
              <w:top w:val="single" w:sz="4" w:space="0" w:color="auto"/>
              <w:left w:val="single" w:sz="4" w:space="0" w:color="auto"/>
              <w:bottom w:val="single" w:sz="4" w:space="0" w:color="auto"/>
              <w:right w:val="single" w:sz="4" w:space="0" w:color="auto"/>
            </w:tcBorders>
            <w:vAlign w:val="center"/>
          </w:tcPr>
          <w:p w14:paraId="5CA879C7" w14:textId="77777777" w:rsidR="00AD5F86" w:rsidRPr="0094743E" w:rsidRDefault="00AD5F86" w:rsidP="000A17A0">
            <w:pPr>
              <w:autoSpaceDE/>
              <w:adjustRightInd/>
              <w:spacing w:after="160" w:line="256" w:lineRule="auto"/>
              <w:ind w:left="194"/>
              <w:jc w:val="center"/>
              <w:rPr>
                <w:rFonts w:asciiTheme="minorHAnsi" w:hAnsiTheme="minorHAnsi" w:cstheme="minorHAnsi"/>
                <w:bCs/>
                <w:lang w:val="en-IE" w:eastAsia="en-US"/>
              </w:rPr>
            </w:pPr>
            <w:r>
              <w:rPr>
                <w:rFonts w:asciiTheme="minorHAnsi" w:hAnsiTheme="minorHAnsi" w:cstheme="minorHAnsi"/>
                <w:bCs/>
                <w:lang w:val="en-IE" w:eastAsia="en-US"/>
              </w:rPr>
              <w:t>15</w:t>
            </w:r>
          </w:p>
        </w:tc>
        <w:tc>
          <w:tcPr>
            <w:tcW w:w="1992" w:type="dxa"/>
            <w:tcBorders>
              <w:top w:val="single" w:sz="4" w:space="0" w:color="auto"/>
              <w:left w:val="single" w:sz="4" w:space="0" w:color="auto"/>
              <w:bottom w:val="single" w:sz="4" w:space="0" w:color="auto"/>
              <w:right w:val="single" w:sz="4" w:space="0" w:color="auto"/>
            </w:tcBorders>
            <w:vAlign w:val="center"/>
          </w:tcPr>
          <w:p w14:paraId="4654AFE5" w14:textId="77777777" w:rsidR="00AD5F86" w:rsidRPr="0094743E" w:rsidRDefault="00AD5F86" w:rsidP="000A17A0">
            <w:pPr>
              <w:autoSpaceDE/>
              <w:adjustRightInd/>
              <w:spacing w:after="160" w:line="256" w:lineRule="auto"/>
              <w:ind w:left="169"/>
              <w:jc w:val="center"/>
              <w:rPr>
                <w:rFonts w:asciiTheme="minorHAnsi" w:hAnsiTheme="minorHAnsi" w:cstheme="minorHAnsi"/>
                <w:bCs/>
                <w:lang w:val="en-IE" w:eastAsia="en-US"/>
              </w:rPr>
            </w:pPr>
          </w:p>
        </w:tc>
      </w:tr>
      <w:tr w:rsidR="00AD5F86" w:rsidRPr="0094743E" w14:paraId="52A442FE" w14:textId="77777777" w:rsidTr="000A17A0">
        <w:trPr>
          <w:trHeight w:val="826"/>
          <w:jc w:val="center"/>
        </w:trPr>
        <w:tc>
          <w:tcPr>
            <w:tcW w:w="988" w:type="dxa"/>
            <w:tcBorders>
              <w:top w:val="single" w:sz="4" w:space="0" w:color="auto"/>
              <w:left w:val="single" w:sz="4" w:space="0" w:color="auto"/>
              <w:bottom w:val="single" w:sz="4" w:space="0" w:color="auto"/>
              <w:right w:val="single" w:sz="4" w:space="0" w:color="auto"/>
            </w:tcBorders>
          </w:tcPr>
          <w:p w14:paraId="47CAA708" w14:textId="77777777" w:rsidR="00AD5F86" w:rsidRPr="0094743E" w:rsidRDefault="00AD5F86" w:rsidP="000A17A0">
            <w:pPr>
              <w:autoSpaceDE/>
              <w:adjustRightInd/>
              <w:spacing w:after="160" w:line="256" w:lineRule="auto"/>
              <w:ind w:left="164"/>
              <w:rPr>
                <w:rFonts w:asciiTheme="minorHAnsi" w:hAnsiTheme="minorHAnsi" w:cstheme="minorHAnsi"/>
                <w:kern w:val="2"/>
              </w:rPr>
            </w:pPr>
            <w:r>
              <w:rPr>
                <w:rFonts w:asciiTheme="minorHAnsi" w:hAnsiTheme="minorHAnsi" w:cstheme="minorHAnsi"/>
                <w:kern w:val="2"/>
              </w:rPr>
              <w:t>6</w:t>
            </w:r>
          </w:p>
        </w:tc>
        <w:tc>
          <w:tcPr>
            <w:tcW w:w="4612" w:type="dxa"/>
            <w:tcBorders>
              <w:top w:val="single" w:sz="4" w:space="0" w:color="auto"/>
              <w:left w:val="single" w:sz="4" w:space="0" w:color="auto"/>
              <w:bottom w:val="single" w:sz="4" w:space="0" w:color="auto"/>
              <w:right w:val="single" w:sz="4" w:space="0" w:color="auto"/>
            </w:tcBorders>
            <w:vAlign w:val="center"/>
          </w:tcPr>
          <w:p w14:paraId="4476A936" w14:textId="77777777" w:rsidR="00AD5F86" w:rsidRPr="0094743E" w:rsidRDefault="00AD5F86" w:rsidP="000A17A0">
            <w:pPr>
              <w:autoSpaceDE/>
              <w:adjustRightInd/>
              <w:spacing w:after="160" w:line="256" w:lineRule="auto"/>
              <w:ind w:left="164"/>
              <w:rPr>
                <w:rFonts w:asciiTheme="minorHAnsi" w:hAnsiTheme="minorHAnsi" w:cstheme="minorHAnsi"/>
                <w:kern w:val="2"/>
              </w:rPr>
            </w:pPr>
            <w:r w:rsidRPr="0094743E">
              <w:rPr>
                <w:rFonts w:asciiTheme="minorHAnsi" w:hAnsiTheme="minorHAnsi" w:cstheme="minorHAnsi"/>
                <w:kern w:val="2"/>
              </w:rPr>
              <w:t xml:space="preserve">Fixed Unit Price for </w:t>
            </w:r>
            <w:r>
              <w:rPr>
                <w:rFonts w:asciiTheme="minorHAnsi" w:hAnsiTheme="minorHAnsi" w:cstheme="minorHAnsi"/>
                <w:kern w:val="2"/>
              </w:rPr>
              <w:t>Initiation of Legal Proceedings through relevant courts</w:t>
            </w:r>
          </w:p>
        </w:tc>
        <w:tc>
          <w:tcPr>
            <w:tcW w:w="1427" w:type="dxa"/>
            <w:tcBorders>
              <w:top w:val="single" w:sz="4" w:space="0" w:color="auto"/>
              <w:left w:val="single" w:sz="4" w:space="0" w:color="auto"/>
              <w:bottom w:val="single" w:sz="4" w:space="0" w:color="auto"/>
              <w:right w:val="single" w:sz="4" w:space="0" w:color="auto"/>
            </w:tcBorders>
            <w:vAlign w:val="center"/>
          </w:tcPr>
          <w:p w14:paraId="17464527" w14:textId="77777777" w:rsidR="00AD5F86" w:rsidRPr="0094743E" w:rsidRDefault="00AD5F86" w:rsidP="000A17A0">
            <w:pPr>
              <w:autoSpaceDE/>
              <w:adjustRightInd/>
              <w:spacing w:after="160" w:line="256" w:lineRule="auto"/>
              <w:ind w:left="194"/>
              <w:jc w:val="center"/>
              <w:rPr>
                <w:rFonts w:asciiTheme="minorHAnsi" w:hAnsiTheme="minorHAnsi" w:cstheme="minorHAnsi"/>
                <w:bCs/>
                <w:lang w:val="en-IE" w:eastAsia="en-US"/>
              </w:rPr>
            </w:pPr>
            <w:r>
              <w:rPr>
                <w:rFonts w:asciiTheme="minorHAnsi" w:hAnsiTheme="minorHAnsi" w:cstheme="minorHAnsi"/>
                <w:bCs/>
                <w:lang w:val="en-IE" w:eastAsia="en-US"/>
              </w:rPr>
              <w:t>20</w:t>
            </w:r>
          </w:p>
        </w:tc>
        <w:tc>
          <w:tcPr>
            <w:tcW w:w="1992" w:type="dxa"/>
            <w:tcBorders>
              <w:top w:val="single" w:sz="4" w:space="0" w:color="auto"/>
              <w:left w:val="single" w:sz="4" w:space="0" w:color="auto"/>
              <w:bottom w:val="single" w:sz="4" w:space="0" w:color="auto"/>
              <w:right w:val="single" w:sz="4" w:space="0" w:color="auto"/>
            </w:tcBorders>
            <w:vAlign w:val="center"/>
          </w:tcPr>
          <w:p w14:paraId="7DD7960C" w14:textId="77777777" w:rsidR="00AD5F86" w:rsidRPr="0094743E" w:rsidRDefault="00AD5F86" w:rsidP="000A17A0">
            <w:pPr>
              <w:autoSpaceDE/>
              <w:adjustRightInd/>
              <w:spacing w:after="160" w:line="256" w:lineRule="auto"/>
              <w:ind w:left="169"/>
              <w:jc w:val="center"/>
              <w:rPr>
                <w:rFonts w:asciiTheme="minorHAnsi" w:hAnsiTheme="minorHAnsi" w:cstheme="minorHAnsi"/>
                <w:bCs/>
                <w:lang w:val="en-IE" w:eastAsia="en-US"/>
              </w:rPr>
            </w:pPr>
          </w:p>
        </w:tc>
      </w:tr>
      <w:tr w:rsidR="00AD5F86" w:rsidRPr="0094743E" w14:paraId="44727DCD" w14:textId="77777777" w:rsidTr="000A17A0">
        <w:trPr>
          <w:trHeight w:val="826"/>
          <w:jc w:val="center"/>
        </w:trPr>
        <w:tc>
          <w:tcPr>
            <w:tcW w:w="988" w:type="dxa"/>
            <w:tcBorders>
              <w:top w:val="single" w:sz="4" w:space="0" w:color="auto"/>
              <w:left w:val="single" w:sz="4" w:space="0" w:color="auto"/>
              <w:bottom w:val="single" w:sz="4" w:space="0" w:color="auto"/>
              <w:right w:val="single" w:sz="4" w:space="0" w:color="auto"/>
            </w:tcBorders>
          </w:tcPr>
          <w:p w14:paraId="02AAF533" w14:textId="77777777" w:rsidR="00AD5F86" w:rsidRPr="0094743E" w:rsidRDefault="00AD5F86" w:rsidP="000A17A0">
            <w:pPr>
              <w:autoSpaceDE/>
              <w:adjustRightInd/>
              <w:spacing w:after="160" w:line="256" w:lineRule="auto"/>
              <w:ind w:left="164"/>
              <w:rPr>
                <w:rFonts w:asciiTheme="minorHAnsi" w:hAnsiTheme="minorHAnsi" w:cstheme="minorHAnsi"/>
                <w:kern w:val="2"/>
              </w:rPr>
            </w:pPr>
            <w:r>
              <w:rPr>
                <w:rFonts w:asciiTheme="minorHAnsi" w:hAnsiTheme="minorHAnsi" w:cstheme="minorHAnsi"/>
                <w:kern w:val="2"/>
              </w:rPr>
              <w:t>7</w:t>
            </w:r>
          </w:p>
        </w:tc>
        <w:tc>
          <w:tcPr>
            <w:tcW w:w="4612" w:type="dxa"/>
            <w:tcBorders>
              <w:top w:val="single" w:sz="4" w:space="0" w:color="auto"/>
              <w:left w:val="single" w:sz="4" w:space="0" w:color="auto"/>
              <w:bottom w:val="single" w:sz="4" w:space="0" w:color="auto"/>
              <w:right w:val="single" w:sz="4" w:space="0" w:color="auto"/>
            </w:tcBorders>
            <w:vAlign w:val="center"/>
          </w:tcPr>
          <w:p w14:paraId="738D60B8" w14:textId="77777777" w:rsidR="00AD5F86" w:rsidRPr="0094743E" w:rsidRDefault="00AD5F86" w:rsidP="000A17A0">
            <w:pPr>
              <w:autoSpaceDE/>
              <w:adjustRightInd/>
              <w:spacing w:after="160" w:line="256" w:lineRule="auto"/>
              <w:ind w:left="164"/>
              <w:rPr>
                <w:rFonts w:asciiTheme="minorHAnsi" w:hAnsiTheme="minorHAnsi" w:cstheme="minorHAnsi"/>
                <w:kern w:val="2"/>
              </w:rPr>
            </w:pPr>
            <w:r w:rsidRPr="0094743E">
              <w:rPr>
                <w:rFonts w:asciiTheme="minorHAnsi" w:hAnsiTheme="minorHAnsi" w:cstheme="minorHAnsi"/>
                <w:kern w:val="2"/>
              </w:rPr>
              <w:t xml:space="preserve">Fixed Unit Price for </w:t>
            </w:r>
            <w:r>
              <w:rPr>
                <w:rFonts w:asciiTheme="minorHAnsi" w:hAnsiTheme="minorHAnsi" w:cstheme="minorHAnsi"/>
                <w:kern w:val="2"/>
              </w:rPr>
              <w:t xml:space="preserve">Enforcement of Judgements </w:t>
            </w:r>
          </w:p>
        </w:tc>
        <w:tc>
          <w:tcPr>
            <w:tcW w:w="1427" w:type="dxa"/>
            <w:tcBorders>
              <w:top w:val="single" w:sz="4" w:space="0" w:color="auto"/>
              <w:left w:val="single" w:sz="4" w:space="0" w:color="auto"/>
              <w:bottom w:val="single" w:sz="4" w:space="0" w:color="auto"/>
              <w:right w:val="single" w:sz="4" w:space="0" w:color="auto"/>
            </w:tcBorders>
            <w:vAlign w:val="center"/>
          </w:tcPr>
          <w:p w14:paraId="11C45FB8" w14:textId="77777777" w:rsidR="00AD5F86" w:rsidRPr="0094743E" w:rsidRDefault="00AD5F86" w:rsidP="000A17A0">
            <w:pPr>
              <w:autoSpaceDE/>
              <w:adjustRightInd/>
              <w:spacing w:after="160" w:line="256" w:lineRule="auto"/>
              <w:ind w:left="194"/>
              <w:jc w:val="center"/>
              <w:rPr>
                <w:rFonts w:asciiTheme="minorHAnsi" w:hAnsiTheme="minorHAnsi" w:cstheme="minorHAnsi"/>
                <w:bCs/>
                <w:lang w:val="en-IE" w:eastAsia="en-US"/>
              </w:rPr>
            </w:pPr>
            <w:r>
              <w:rPr>
                <w:rFonts w:asciiTheme="minorHAnsi" w:hAnsiTheme="minorHAnsi" w:cstheme="minorHAnsi"/>
                <w:bCs/>
                <w:lang w:val="en-IE" w:eastAsia="en-US"/>
              </w:rPr>
              <w:t>15</w:t>
            </w:r>
          </w:p>
        </w:tc>
        <w:tc>
          <w:tcPr>
            <w:tcW w:w="1992" w:type="dxa"/>
            <w:tcBorders>
              <w:top w:val="single" w:sz="4" w:space="0" w:color="auto"/>
              <w:left w:val="single" w:sz="4" w:space="0" w:color="auto"/>
              <w:bottom w:val="single" w:sz="4" w:space="0" w:color="auto"/>
              <w:right w:val="single" w:sz="4" w:space="0" w:color="auto"/>
            </w:tcBorders>
            <w:vAlign w:val="center"/>
          </w:tcPr>
          <w:p w14:paraId="3598DD67" w14:textId="77777777" w:rsidR="00AD5F86" w:rsidRPr="0094743E" w:rsidRDefault="00AD5F86" w:rsidP="000A17A0">
            <w:pPr>
              <w:autoSpaceDE/>
              <w:adjustRightInd/>
              <w:spacing w:after="160" w:line="256" w:lineRule="auto"/>
              <w:ind w:left="169"/>
              <w:jc w:val="center"/>
              <w:rPr>
                <w:rFonts w:asciiTheme="minorHAnsi" w:hAnsiTheme="minorHAnsi" w:cstheme="minorHAnsi"/>
                <w:bCs/>
                <w:lang w:val="en-IE" w:eastAsia="en-US"/>
              </w:rPr>
            </w:pPr>
          </w:p>
        </w:tc>
      </w:tr>
    </w:tbl>
    <w:p w14:paraId="775102F4" w14:textId="77777777" w:rsidR="00AD5F86" w:rsidRPr="0094743E" w:rsidRDefault="00AD5F86" w:rsidP="00AD5F86">
      <w:pPr>
        <w:keepNext/>
        <w:autoSpaceDE/>
        <w:adjustRightInd/>
        <w:ind w:left="567"/>
        <w:jc w:val="both"/>
        <w:outlineLvl w:val="2"/>
        <w:rPr>
          <w:rFonts w:asciiTheme="minorHAnsi" w:hAnsiTheme="minorHAnsi" w:cstheme="minorHAnsi"/>
        </w:rPr>
      </w:pPr>
    </w:p>
    <w:p w14:paraId="79EB308A" w14:textId="77777777" w:rsidR="00AD5F86" w:rsidRPr="0094743E" w:rsidRDefault="00AD5F86" w:rsidP="00AD5F86">
      <w:pPr>
        <w:keepNext/>
        <w:autoSpaceDE/>
        <w:adjustRightInd/>
        <w:ind w:left="720"/>
        <w:jc w:val="both"/>
        <w:outlineLvl w:val="2"/>
        <w:rPr>
          <w:rFonts w:asciiTheme="minorHAnsi" w:hAnsiTheme="minorHAnsi" w:cstheme="minorHAnsi"/>
        </w:rPr>
      </w:pPr>
      <w:r w:rsidRPr="0094743E">
        <w:rPr>
          <w:rFonts w:asciiTheme="minorHAnsi" w:hAnsiTheme="minorHAnsi" w:cstheme="minorHAnsi"/>
        </w:rPr>
        <w:t>The Tenderer with the lowest rate</w:t>
      </w:r>
      <w:r>
        <w:rPr>
          <w:rFonts w:asciiTheme="minorHAnsi" w:hAnsiTheme="minorHAnsi" w:cstheme="minorHAnsi"/>
        </w:rPr>
        <w:t xml:space="preserve"> for each service element sub-criterion listed from 1 – 7,</w:t>
      </w:r>
      <w:r w:rsidRPr="0094743E">
        <w:rPr>
          <w:rFonts w:asciiTheme="minorHAnsi" w:hAnsiTheme="minorHAnsi" w:cstheme="minorHAnsi"/>
        </w:rPr>
        <w:t xml:space="preserve"> will receive the maximum marks available under</w:t>
      </w:r>
      <w:r>
        <w:rPr>
          <w:rFonts w:asciiTheme="minorHAnsi" w:hAnsiTheme="minorHAnsi" w:cstheme="minorHAnsi"/>
        </w:rPr>
        <w:t xml:space="preserve"> each service element sub-criterion</w:t>
      </w:r>
      <w:r w:rsidRPr="0094743E">
        <w:rPr>
          <w:rFonts w:asciiTheme="minorHAnsi" w:hAnsiTheme="minorHAnsi" w:cstheme="minorHAnsi"/>
        </w:rPr>
        <w:t>.</w:t>
      </w:r>
    </w:p>
    <w:p w14:paraId="4EB21F89" w14:textId="77777777" w:rsidR="00AD5F86" w:rsidRPr="0094743E" w:rsidRDefault="00AD5F86" w:rsidP="00AD5F86">
      <w:pPr>
        <w:ind w:left="720"/>
        <w:jc w:val="both"/>
        <w:rPr>
          <w:rFonts w:asciiTheme="minorHAnsi" w:hAnsiTheme="minorHAnsi" w:cstheme="minorHAnsi"/>
        </w:rPr>
      </w:pPr>
    </w:p>
    <w:p w14:paraId="227098EC" w14:textId="77777777" w:rsidR="00AD5F86" w:rsidRPr="0094743E" w:rsidRDefault="00AD5F86" w:rsidP="00AD5F86">
      <w:pPr>
        <w:jc w:val="both"/>
        <w:rPr>
          <w:rFonts w:asciiTheme="minorHAnsi" w:hAnsiTheme="minorHAnsi" w:cstheme="minorHAnsi"/>
        </w:rPr>
      </w:pPr>
    </w:p>
    <w:p w14:paraId="54A75A85" w14:textId="77777777" w:rsidR="00AD5F86" w:rsidRPr="003132A3" w:rsidRDefault="00AD5F86" w:rsidP="00AD5F86">
      <w:pPr>
        <w:pStyle w:val="ListParagraph"/>
        <w:numPr>
          <w:ilvl w:val="0"/>
          <w:numId w:val="1"/>
        </w:numPr>
        <w:jc w:val="both"/>
        <w:rPr>
          <w:rFonts w:asciiTheme="minorHAnsi" w:hAnsiTheme="minorHAnsi" w:cstheme="minorHAnsi"/>
        </w:rPr>
      </w:pPr>
      <w:r w:rsidRPr="003132A3">
        <w:rPr>
          <w:rFonts w:asciiTheme="minorHAnsi" w:hAnsiTheme="minorHAnsi" w:cstheme="minorHAnsi"/>
        </w:rPr>
        <w:t xml:space="preserve">The Central Bank </w:t>
      </w:r>
      <w:r>
        <w:rPr>
          <w:rFonts w:asciiTheme="minorHAnsi" w:hAnsiTheme="minorHAnsi" w:cstheme="minorHAnsi"/>
        </w:rPr>
        <w:t>has</w:t>
      </w:r>
      <w:r w:rsidRPr="003132A3">
        <w:rPr>
          <w:rFonts w:asciiTheme="minorHAnsi" w:hAnsiTheme="minorHAnsi" w:cstheme="minorHAnsi"/>
        </w:rPr>
        <w:t xml:space="preserve"> the right</w:t>
      </w:r>
      <w:r>
        <w:rPr>
          <w:rFonts w:asciiTheme="minorHAnsi" w:hAnsiTheme="minorHAnsi" w:cstheme="minorHAnsi"/>
        </w:rPr>
        <w:t xml:space="preserve"> </w:t>
      </w:r>
      <w:r w:rsidRPr="003132A3">
        <w:rPr>
          <w:rFonts w:asciiTheme="minorHAnsi" w:hAnsiTheme="minorHAnsi" w:cstheme="minorHAnsi"/>
        </w:rPr>
        <w:t>to correct a Tenderer’s</w:t>
      </w:r>
      <w:r>
        <w:rPr>
          <w:rFonts w:asciiTheme="minorHAnsi" w:hAnsiTheme="minorHAnsi" w:cstheme="minorHAnsi"/>
        </w:rPr>
        <w:t xml:space="preserve"> Pricing Schedule where it discovers errors or omissions, or to ask the Tenderer to do so. The Central Bank is under no obligation to correct, or permit the correction of errors, and Tenderers should not assume they will get any opportunity for errors to be corrected. </w:t>
      </w:r>
      <w:r w:rsidRPr="003132A3">
        <w:rPr>
          <w:rFonts w:asciiTheme="minorHAnsi" w:hAnsiTheme="minorHAnsi" w:cstheme="minorHAnsi"/>
        </w:rPr>
        <w:t>The</w:t>
      </w:r>
      <w:r>
        <w:rPr>
          <w:rFonts w:asciiTheme="minorHAnsi" w:hAnsiTheme="minorHAnsi" w:cstheme="minorHAnsi"/>
        </w:rPr>
        <w:t xml:space="preserve"> </w:t>
      </w:r>
      <w:r w:rsidRPr="003132A3">
        <w:rPr>
          <w:rFonts w:asciiTheme="minorHAnsi" w:hAnsiTheme="minorHAnsi" w:cstheme="minorHAnsi"/>
        </w:rPr>
        <w:t>Central Bank’s calculations will supersede any cal</w:t>
      </w:r>
      <w:r>
        <w:rPr>
          <w:rFonts w:asciiTheme="minorHAnsi" w:hAnsiTheme="minorHAnsi" w:cstheme="minorHAnsi"/>
        </w:rPr>
        <w:t xml:space="preserve">culations made by the Tenderer, </w:t>
      </w:r>
      <w:r w:rsidRPr="003132A3">
        <w:rPr>
          <w:rFonts w:asciiTheme="minorHAnsi" w:hAnsiTheme="minorHAnsi" w:cstheme="minorHAnsi"/>
        </w:rPr>
        <w:t>where</w:t>
      </w:r>
      <w:r>
        <w:rPr>
          <w:rFonts w:asciiTheme="minorHAnsi" w:hAnsiTheme="minorHAnsi" w:cstheme="minorHAnsi"/>
        </w:rPr>
        <w:t xml:space="preserve"> </w:t>
      </w:r>
      <w:r w:rsidRPr="003132A3">
        <w:rPr>
          <w:rFonts w:asciiTheme="minorHAnsi" w:hAnsiTheme="minorHAnsi" w:cstheme="minorHAnsi"/>
        </w:rPr>
        <w:t>there is a discrepancy.</w:t>
      </w:r>
    </w:p>
    <w:p w14:paraId="3348706A" w14:textId="77777777" w:rsidR="00AD5F86" w:rsidRDefault="00AD5F86" w:rsidP="00AD5F86">
      <w:pPr>
        <w:pStyle w:val="ListParagraph"/>
        <w:jc w:val="both"/>
        <w:rPr>
          <w:rFonts w:asciiTheme="minorHAnsi" w:hAnsiTheme="minorHAnsi" w:cstheme="minorHAnsi"/>
        </w:rPr>
      </w:pPr>
    </w:p>
    <w:p w14:paraId="7D0D7303" w14:textId="77777777" w:rsidR="00AD5F86" w:rsidRPr="004132D3" w:rsidRDefault="00AD5F86" w:rsidP="00AD5F86">
      <w:pPr>
        <w:pStyle w:val="ListParagraph"/>
        <w:numPr>
          <w:ilvl w:val="0"/>
          <w:numId w:val="1"/>
        </w:numPr>
        <w:jc w:val="both"/>
        <w:rPr>
          <w:rFonts w:asciiTheme="minorHAnsi" w:hAnsiTheme="minorHAnsi" w:cstheme="minorHAnsi"/>
        </w:rPr>
      </w:pPr>
      <w:r w:rsidRPr="004132D3">
        <w:rPr>
          <w:rFonts w:asciiTheme="minorHAnsi" w:hAnsiTheme="minorHAnsi" w:cstheme="minorHAnsi"/>
        </w:rPr>
        <w:t>Tenderers are not permitted to tender abnormally low or high amounts. If the Central Bank considers that any amount in a Tender is abnormally low or high (or that the Tender overall is abnormally low or high), it may require the relevant Tenderer(s) to provide an explanation. Any failure by a Tenderer to comply with such request may result in that Tenderer being eliminated from the Competition. If, having considered the explanation provided, the Central Bank considers that the relevant tendered amounts are abnormally low or abnormally high (or that the Tender overall is abnormally low or high), the Central Bank may, and in some circumstances must, reject the Tender.</w:t>
      </w:r>
    </w:p>
    <w:p w14:paraId="0802387F" w14:textId="77777777" w:rsidR="00AD5F86" w:rsidRDefault="00AD5F86" w:rsidP="00AD5F86">
      <w:pPr>
        <w:autoSpaceDE/>
        <w:autoSpaceDN/>
        <w:adjustRightInd/>
        <w:jc w:val="center"/>
        <w:rPr>
          <w:rFonts w:asciiTheme="minorHAnsi" w:hAnsiTheme="minorHAnsi" w:cstheme="minorHAnsi"/>
          <w:b/>
        </w:rPr>
      </w:pPr>
      <w:bookmarkStart w:id="0" w:name="_BPDC_LN_INS_1002"/>
      <w:bookmarkStart w:id="1" w:name="_BPDC_LN_INS_1001"/>
      <w:bookmarkEnd w:id="0"/>
      <w:bookmarkEnd w:id="1"/>
    </w:p>
    <w:p w14:paraId="3F10D77F" w14:textId="77777777" w:rsidR="0053640C" w:rsidRDefault="0053640C"/>
    <w:sectPr w:rsidR="0053640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C1229" w14:textId="77777777" w:rsidR="00201DD8" w:rsidRDefault="00201DD8" w:rsidP="00AD5F86">
      <w:r>
        <w:separator/>
      </w:r>
    </w:p>
  </w:endnote>
  <w:endnote w:type="continuationSeparator" w:id="0">
    <w:p w14:paraId="6ED0DD3B" w14:textId="77777777" w:rsidR="00201DD8" w:rsidRDefault="00201DD8" w:rsidP="00AD5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F474F" w14:textId="77777777" w:rsidR="00AD5F86" w:rsidRDefault="00AD5F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BAD50" w14:textId="77777777" w:rsidR="00AD5F86" w:rsidRDefault="00AD5F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C5C87" w14:textId="77777777" w:rsidR="00AD5F86" w:rsidRDefault="00AD5F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3FCE0" w14:textId="77777777" w:rsidR="00201DD8" w:rsidRDefault="00201DD8" w:rsidP="00AD5F86">
      <w:r>
        <w:separator/>
      </w:r>
    </w:p>
  </w:footnote>
  <w:footnote w:type="continuationSeparator" w:id="0">
    <w:p w14:paraId="2E0D0294" w14:textId="77777777" w:rsidR="00201DD8" w:rsidRDefault="00201DD8" w:rsidP="00AD5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7D244" w14:textId="5726D355" w:rsidR="00AD5F86" w:rsidRPr="00AD5F86" w:rsidRDefault="00AD5F86" w:rsidP="00AD5F86">
    <w:pPr>
      <w:pStyle w:val="Header"/>
    </w:pPr>
    <w:r>
      <w:rPr>
        <w:rFonts w:ascii="Lato" w:hAnsi="Lato"/>
      </w:rPr>
      <w:fldChar w:fldCharType="begin" w:fldLock="1"/>
    </w:r>
    <w:r>
      <w:rPr>
        <w:rFonts w:ascii="Lato" w:hAnsi="Lato"/>
      </w:rPr>
      <w:instrText xml:space="preserve"> DOCPROPERTY bjHeaderEvenPageDocProperty </w:instrText>
    </w:r>
    <w:r>
      <w:rPr>
        <w:rFonts w:ascii="Lato" w:hAnsi="Lato"/>
      </w:rPr>
      <w:fldChar w:fldCharType="separate"/>
    </w:r>
    <w:r w:rsidRPr="000F1CB1">
      <w:rPr>
        <w:color w:val="000000"/>
      </w:rPr>
      <w:t>Central Bank of Ireland - UNRESTRICTED</w:t>
    </w:r>
    <w:r>
      <w:rPr>
        <w:rFonts w:ascii="Lato" w:hAnsi="Lato"/>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537AD" w14:textId="02CB346D" w:rsidR="00AD5F86" w:rsidRPr="00AD5F86" w:rsidRDefault="00AD5F86" w:rsidP="00AD5F86">
    <w:pPr>
      <w:pStyle w:val="Header"/>
    </w:pPr>
    <w:r>
      <w:rPr>
        <w:rFonts w:ascii="Lato" w:hAnsi="Lato"/>
      </w:rPr>
      <w:fldChar w:fldCharType="begin" w:fldLock="1"/>
    </w:r>
    <w:r>
      <w:rPr>
        <w:rFonts w:ascii="Lato" w:hAnsi="Lato"/>
      </w:rPr>
      <w:instrText xml:space="preserve"> DOCPROPERTY bjHeaderBothDocProperty </w:instrText>
    </w:r>
    <w:r>
      <w:rPr>
        <w:rFonts w:ascii="Lato" w:hAnsi="Lato"/>
      </w:rPr>
      <w:fldChar w:fldCharType="separate"/>
    </w:r>
    <w:r w:rsidRPr="000F1CB1">
      <w:rPr>
        <w:color w:val="000000"/>
      </w:rPr>
      <w:t>Central Bank of Ireland - UNRESTRICTED</w:t>
    </w:r>
    <w:r>
      <w:rPr>
        <w:rFonts w:ascii="Lato" w:hAnsi="Lato"/>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199CF" w14:textId="4654E9EA" w:rsidR="00AD5F86" w:rsidRPr="00AD5F86" w:rsidRDefault="00AD5F86" w:rsidP="00AD5F86">
    <w:pPr>
      <w:pStyle w:val="Header"/>
    </w:pPr>
    <w:r>
      <w:rPr>
        <w:rFonts w:ascii="Lato" w:hAnsi="Lato"/>
      </w:rPr>
      <w:fldChar w:fldCharType="begin" w:fldLock="1"/>
    </w:r>
    <w:r>
      <w:rPr>
        <w:rFonts w:ascii="Lato" w:hAnsi="Lato"/>
      </w:rPr>
      <w:instrText xml:space="preserve"> DOCPROPERTY bjHeaderFirstPageDocProperty </w:instrText>
    </w:r>
    <w:r>
      <w:rPr>
        <w:rFonts w:ascii="Lato" w:hAnsi="Lato"/>
      </w:rPr>
      <w:fldChar w:fldCharType="separate"/>
    </w:r>
    <w:r w:rsidRPr="000F1CB1">
      <w:rPr>
        <w:color w:val="000000"/>
      </w:rPr>
      <w:t>Central Bank of Ireland - UNRESTRICTED</w:t>
    </w:r>
    <w:r>
      <w:rPr>
        <w:rFonts w:ascii="Lato" w:hAnsi="Lato"/>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75D54"/>
    <w:multiLevelType w:val="hybridMultilevel"/>
    <w:tmpl w:val="4600CE7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392650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F86"/>
    <w:rsid w:val="00201DD8"/>
    <w:rsid w:val="00252316"/>
    <w:rsid w:val="002D5D4A"/>
    <w:rsid w:val="0053640C"/>
    <w:rsid w:val="00550099"/>
    <w:rsid w:val="00AD0CA8"/>
    <w:rsid w:val="00AD5F86"/>
    <w:rsid w:val="00CE34B7"/>
    <w:rsid w:val="00E42ED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95F4A"/>
  <w15:chartTrackingRefBased/>
  <w15:docId w15:val="{946A9AC5-480B-4B01-B3B5-364C9A8EF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F86"/>
    <w:pPr>
      <w:autoSpaceDE w:val="0"/>
      <w:autoSpaceDN w:val="0"/>
      <w:adjustRightInd w:val="0"/>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AD5F8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D5F8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D5F8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D5F8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D5F8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D5F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F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F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F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F8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D5F8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D5F8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D5F8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D5F8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D5F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F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F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F86"/>
    <w:rPr>
      <w:rFonts w:eastAsiaTheme="majorEastAsia" w:cstheme="majorBidi"/>
      <w:color w:val="272727" w:themeColor="text1" w:themeTint="D8"/>
    </w:rPr>
  </w:style>
  <w:style w:type="paragraph" w:styleId="Title">
    <w:name w:val="Title"/>
    <w:basedOn w:val="Normal"/>
    <w:next w:val="Normal"/>
    <w:link w:val="TitleChar"/>
    <w:uiPriority w:val="10"/>
    <w:qFormat/>
    <w:rsid w:val="00AD5F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F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F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F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F86"/>
    <w:pPr>
      <w:spacing w:before="160"/>
      <w:jc w:val="center"/>
    </w:pPr>
    <w:rPr>
      <w:i/>
      <w:iCs/>
      <w:color w:val="404040" w:themeColor="text1" w:themeTint="BF"/>
    </w:rPr>
  </w:style>
  <w:style w:type="character" w:customStyle="1" w:styleId="QuoteChar">
    <w:name w:val="Quote Char"/>
    <w:basedOn w:val="DefaultParagraphFont"/>
    <w:link w:val="Quote"/>
    <w:uiPriority w:val="29"/>
    <w:rsid w:val="00AD5F86"/>
    <w:rPr>
      <w:i/>
      <w:iCs/>
      <w:color w:val="404040" w:themeColor="text1" w:themeTint="BF"/>
    </w:rPr>
  </w:style>
  <w:style w:type="paragraph" w:styleId="ListParagraph">
    <w:name w:val="List Paragraph"/>
    <w:aliases w:val="igunore,Subtitle Cover Page,F5 List Paragraph,Bullet Points,No Spacing1,List Paragraph Char Char Char,Indicator Text,Numbered Para 1,Bullet 1,Colorful List - Accent 11,List Paragraph11,MAIN CONTENT,List Paragraph12,List Paragraph2,lp1"/>
    <w:basedOn w:val="Normal"/>
    <w:link w:val="ListParagraphChar"/>
    <w:uiPriority w:val="34"/>
    <w:qFormat/>
    <w:rsid w:val="00AD5F86"/>
    <w:pPr>
      <w:ind w:left="720"/>
      <w:contextualSpacing/>
    </w:pPr>
  </w:style>
  <w:style w:type="character" w:styleId="IntenseEmphasis">
    <w:name w:val="Intense Emphasis"/>
    <w:basedOn w:val="DefaultParagraphFont"/>
    <w:uiPriority w:val="21"/>
    <w:qFormat/>
    <w:rsid w:val="00AD5F86"/>
    <w:rPr>
      <w:i/>
      <w:iCs/>
      <w:color w:val="2E74B5" w:themeColor="accent1" w:themeShade="BF"/>
    </w:rPr>
  </w:style>
  <w:style w:type="paragraph" w:styleId="IntenseQuote">
    <w:name w:val="Intense Quote"/>
    <w:basedOn w:val="Normal"/>
    <w:next w:val="Normal"/>
    <w:link w:val="IntenseQuoteChar"/>
    <w:uiPriority w:val="30"/>
    <w:qFormat/>
    <w:rsid w:val="00AD5F8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D5F86"/>
    <w:rPr>
      <w:i/>
      <w:iCs/>
      <w:color w:val="2E74B5" w:themeColor="accent1" w:themeShade="BF"/>
    </w:rPr>
  </w:style>
  <w:style w:type="character" w:styleId="IntenseReference">
    <w:name w:val="Intense Reference"/>
    <w:basedOn w:val="DefaultParagraphFont"/>
    <w:uiPriority w:val="32"/>
    <w:qFormat/>
    <w:rsid w:val="00AD5F86"/>
    <w:rPr>
      <w:b/>
      <w:bCs/>
      <w:smallCaps/>
      <w:color w:val="2E74B5" w:themeColor="accent1" w:themeShade="BF"/>
      <w:spacing w:val="5"/>
    </w:rPr>
  </w:style>
  <w:style w:type="character" w:customStyle="1" w:styleId="ListParagraphChar">
    <w:name w:val="List Paragraph Char"/>
    <w:aliases w:val="igunore Char,Subtitle Cover Page Char,F5 List Paragraph Char,Bullet Points Char,No Spacing1 Char,List Paragraph Char Char Char Char,Indicator Text Char,Numbered Para 1 Char,Bullet 1 Char,Colorful List - Accent 11 Char,lp1 Char"/>
    <w:basedOn w:val="DefaultParagraphFont"/>
    <w:link w:val="ListParagraph"/>
    <w:uiPriority w:val="34"/>
    <w:rsid w:val="00AD5F86"/>
  </w:style>
  <w:style w:type="table" w:styleId="TableGrid">
    <w:name w:val="Table Grid"/>
    <w:basedOn w:val="TableNormal"/>
    <w:uiPriority w:val="59"/>
    <w:rsid w:val="00AD5F8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AD5F86"/>
    <w:pPr>
      <w:spacing w:after="0" w:line="240" w:lineRule="auto"/>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5F86"/>
    <w:pPr>
      <w:tabs>
        <w:tab w:val="center" w:pos="4513"/>
        <w:tab w:val="right" w:pos="9026"/>
      </w:tabs>
    </w:pPr>
  </w:style>
  <w:style w:type="character" w:customStyle="1" w:styleId="HeaderChar">
    <w:name w:val="Header Char"/>
    <w:basedOn w:val="DefaultParagraphFont"/>
    <w:link w:val="Header"/>
    <w:uiPriority w:val="99"/>
    <w:rsid w:val="00AD5F86"/>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AD5F86"/>
    <w:pPr>
      <w:tabs>
        <w:tab w:val="center" w:pos="4513"/>
        <w:tab w:val="right" w:pos="9026"/>
      </w:tabs>
    </w:pPr>
  </w:style>
  <w:style w:type="character" w:customStyle="1" w:styleId="FooterChar">
    <w:name w:val="Footer Char"/>
    <w:basedOn w:val="DefaultParagraphFont"/>
    <w:link w:val="Footer"/>
    <w:uiPriority w:val="99"/>
    <w:rsid w:val="00AD5F86"/>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586b747-2a7c-4f57-bcd1-e81df5c8c005" origin="userSelected">
  <element uid="id_classification_nonbusiness" value=""/>
</sisl>
</file>

<file path=customXml/item2.xml><?xml version="1.0" encoding="utf-8"?>
<WrappedLabelInfo xmlns:xsi="http://www.w3.org/2001/XMLSchema-instance" xmlns:xsd="http://www.w3.org/2001/XMLSchema" xmlns="http://www.boldonjames.com/2016/02/Classifier/internal/wrappedLabelInfo">
  <Value>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PGVsaD4wdVlMRHpCVitFY0NiNlhlVHAwR20rRlZ6UG8yeDg4dDwvZWxoPjxjb25maWc+Q0JvSTwvY29uZmlnPjxwb2w+U3RhbmRhcmRVc2VyPC9wb2w+PHN1bW1hcnk+VW5yZXN0cmljdGVkPC9zdW1tYXJ5PjxhcHA+V29yZDwvYXBwPjxTaWduYXR1cmVWYWxpZD5mYWxzZTwvU2lnbmF0dXJlVmFsaWQ+PC9MYWJlbEluZm9YbWxQYXJ0Pg==</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Uie2w0fzO/biTCzFtkHhrxTe46EUdOkXL4e0Vg9PdZI=</DigestValue>
      </Reference>
      <Reference URI="#INFO">
        <DigestMethod Algorithm="http://www.w3.org/2001/04/xmlenc#sha256"/>
        <DigestValue>ctz5zm0qrv/W2P4iIbJrH/evV+jSgrNp3vg1wK+tnzQ=</DigestValue>
      </Reference>
    </SignedInfo>
    <SignatureValue>Zsb9F8OJtzwrCa9XDpbK/EwnkNX5E2WLKhB+l8qWWCIfhtZfgt9d1FOHgp+rDS2Fus2ex2mtgwKhxK7eiiK0/A==</SignatureValue>
    <Object Id="INFO">
      <ArrayOfString xmlns:xsi="http://www.w3.org/2001/XMLSchema-instance" xmlns:xsd="http://www.w3.org/2001/XMLSchema" xmlns="">
        <string>0uYLDzBV+EcCb6XeTp0Gm+FVzPo2x88t</string>
      </ArrayOfString>
    </Object>
  </Signature>
</WrappedLabelInfo>
</file>

<file path=customXml/itemProps1.xml><?xml version="1.0" encoding="utf-8"?>
<ds:datastoreItem xmlns:ds="http://schemas.openxmlformats.org/officeDocument/2006/customXml" ds:itemID="{DF5C44DD-8BF0-4076-BE4A-41876123586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00650E0-960C-432F-95D1-C535BDB3AD14}">
  <ds:schemaRefs>
    <ds:schemaRef ds:uri="http://www.w3.org/2001/XMLSchema"/>
    <ds:schemaRef ds:uri="http://www.boldonjames.com/2016/02/Classifier/internal/wrappedLabelInfo"/>
    <ds:schemaRef ds:uri="http://www.w3.org/2000/09/xmldsig#"/>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1077</Words>
  <Characters>5720</Characters>
  <Application>Microsoft Office Word</Application>
  <DocSecurity>0</DocSecurity>
  <Lines>143</Lines>
  <Paragraphs>42</Paragraphs>
  <ScaleCrop>false</ScaleCrop>
  <Company>Central Bank of Ireland</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Sherlock, Geraldine</dc:creator>
  <cp:keywords>Unrestricted</cp:keywords>
  <dc:description/>
  <cp:lastModifiedBy>Sherlock, Geraldine</cp:lastModifiedBy>
  <cp:revision>1</cp:revision>
  <dcterms:created xsi:type="dcterms:W3CDTF">2026-06-22T19:23:00Z</dcterms:created>
  <dcterms:modified xsi:type="dcterms:W3CDTF">2026-06-22T19:24:00Z</dcterms:modified>
  <cp:category>Unrestricted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f4d96095-1157-455b-9bcd-8d56b672b1ae</vt:lpwstr>
  </property>
  <property fmtid="{D5CDD505-2E9C-101B-9397-08002B2CF9AE}" pid="3" name="bjClsUserRVM">
    <vt:lpwstr>[]</vt:lpwstr>
  </property>
  <property fmtid="{D5CDD505-2E9C-101B-9397-08002B2CF9AE}" pid="4" name="bjSaver">
    <vt:lpwstr>iqJaOf1wRLtKFzp90H7Z98z+m50U+PwJ</vt:lpwstr>
  </property>
  <property fmtid="{D5CDD505-2E9C-101B-9397-08002B2CF9AE}" pid="5"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6" name="bjDocumentLabelXML-0">
    <vt:lpwstr>ames.com/2008/01/sie/internal/label"&gt;&lt;element uid="id_classification_nonbusiness" value="" /&gt;&lt;/sisl&gt;</vt:lpwstr>
  </property>
  <property fmtid="{D5CDD505-2E9C-101B-9397-08002B2CF9AE}" pid="7" name="bjDocumentSecurityLabel">
    <vt:lpwstr>Unrestricted</vt:lpwstr>
  </property>
  <property fmtid="{D5CDD505-2E9C-101B-9397-08002B2CF9AE}" pid="8" name="bjHeaderBothDocProperty">
    <vt:lpwstr>Central Bank of Ireland - UNRESTRICTED</vt:lpwstr>
  </property>
  <property fmtid="{D5CDD505-2E9C-101B-9397-08002B2CF9AE}" pid="9" name="bjHeaderFirstPageDocProperty">
    <vt:lpwstr>Central Bank of Ireland - UNRESTRICTED</vt:lpwstr>
  </property>
  <property fmtid="{D5CDD505-2E9C-101B-9397-08002B2CF9AE}" pid="10" name="bjHeaderEvenPageDocProperty">
    <vt:lpwstr>Central Bank of Ireland - UNRESTRICTED</vt:lpwstr>
  </property>
  <property fmtid="{D5CDD505-2E9C-101B-9397-08002B2CF9AE}" pid="11" name="bjpmDocIH">
    <vt:lpwstr>IaBSIENL6Pngj9IlfhJvLMkB3t4WKZGu</vt:lpwstr>
  </property>
</Properties>
</file>