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6EA61939" w:rsidR="003C0FB1" w:rsidRPr="00CB5B77" w:rsidRDefault="003C0FB1" w:rsidP="00B366D6">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10T00:00:00Z">
            <w:dateFormat w:val="dd/MM/yyyy"/>
            <w:lid w:val="en-IE"/>
            <w:storeMappedDataAs w:val="dateTime"/>
            <w:calendar w:val="gregorian"/>
          </w:date>
        </w:sdtPr>
        <w:sdtEndPr/>
        <w:sdtContent>
          <w:r w:rsidR="003F4A1E">
            <w:rPr>
              <w:rFonts w:ascii="Calibri" w:hAnsi="Calibri"/>
              <w:sz w:val="40"/>
              <w:szCs w:val="40"/>
              <w:highlight w:val="lightGray"/>
              <w:lang w:val="en-IE"/>
            </w:rPr>
            <w:t>10/06/2026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szCs w:val="22"/>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471150">
            <w:rPr>
              <w:szCs w:val="22"/>
            </w:rPr>
            <w:t>q</w:t>
          </w:r>
          <w:r w:rsidR="00B366D6" w:rsidRPr="00B366D6">
            <w:rPr>
              <w:szCs w:val="22"/>
            </w:rPr>
            <w:t xml:space="preserve">uantitative </w:t>
          </w:r>
          <w:r w:rsidR="00471150">
            <w:rPr>
              <w:szCs w:val="22"/>
            </w:rPr>
            <w:t>&amp; qualitative r</w:t>
          </w:r>
          <w:r w:rsidR="00B366D6" w:rsidRPr="00B366D6">
            <w:rPr>
              <w:szCs w:val="22"/>
            </w:rPr>
            <w:t>esearch to</w:t>
          </w:r>
          <w:r w:rsidR="00B366D6">
            <w:rPr>
              <w:szCs w:val="22"/>
            </w:rPr>
            <w:t xml:space="preserve"> i</w:t>
          </w:r>
          <w:r w:rsidR="00B366D6" w:rsidRPr="00B366D6">
            <w:rPr>
              <w:szCs w:val="22"/>
            </w:rPr>
            <w:t>dentify the most helpful</w:t>
          </w:r>
          <w:r w:rsidR="00471150">
            <w:rPr>
              <w:szCs w:val="22"/>
            </w:rPr>
            <w:t>,</w:t>
          </w:r>
          <w:r w:rsidR="00B366D6" w:rsidRPr="00B366D6">
            <w:rPr>
              <w:szCs w:val="22"/>
            </w:rPr>
            <w:t xml:space="preserve"> non</w:t>
          </w:r>
          <w:r w:rsidR="000835B0">
            <w:rPr>
              <w:szCs w:val="22"/>
            </w:rPr>
            <w:t>-</w:t>
          </w:r>
          <w:r w:rsidR="00B366D6" w:rsidRPr="00B366D6">
            <w:rPr>
              <w:szCs w:val="22"/>
            </w:rPr>
            <w:t xml:space="preserve">therapeutic parenting supports for parents of children, with additional needs </w:t>
          </w:r>
          <w:r w:rsidR="00471150">
            <w:rPr>
              <w:szCs w:val="22"/>
            </w:rPr>
            <w:t>&amp; the practitioners who support them</w:t>
          </w:r>
          <w:r w:rsidR="00B366D6" w:rsidRPr="00B366D6">
            <w:rPr>
              <w:szCs w:val="22"/>
            </w:rPr>
            <w:t xml:space="preserve"> </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2114F752"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10T14:00:00Z">
            <w:dateFormat w:val="dd/MM/yyyy HH:mm"/>
            <w:lid w:val="en-IE"/>
            <w:storeMappedDataAs w:val="dateTime"/>
            <w:calendar w:val="gregorian"/>
          </w:date>
        </w:sdtPr>
        <w:sdtEndPr/>
        <w:sdtContent>
          <w:r w:rsidR="003F4A1E">
            <w:rPr>
              <w:rFonts w:ascii="Calibri" w:hAnsi="Calibri"/>
              <w:sz w:val="40"/>
              <w:szCs w:val="40"/>
              <w:highlight w:val="lightGray"/>
              <w:lang w:val="en-IE"/>
            </w:rPr>
            <w:t>10/07/2026 14:00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6D46F7"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2179AA4C" w:rsidR="003C0FB1" w:rsidRDefault="006D46F7"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471150">
                  <w:rPr>
                    <w:highlight w:val="lightGray"/>
                  </w:rPr>
                  <w:t xml:space="preserve">The </w:t>
                </w:r>
                <w:r w:rsidR="00A23EF9">
                  <w:rPr>
                    <w:highlight w:val="lightGray"/>
                  </w:rPr>
                  <w:t xml:space="preserve">Department of </w:t>
                </w:r>
                <w:r w:rsidR="00471150">
                  <w:rPr>
                    <w:highlight w:val="lightGray"/>
                  </w:rPr>
                  <w:t xml:space="preserve">Children, Disability &amp; Equality </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B6C14F3" w14:textId="77777777" w:rsidR="00471150"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p>
          <w:p w14:paraId="6A8B06F8" w14:textId="30A92591" w:rsidR="00F25207" w:rsidRDefault="00F25207" w:rsidP="00F25207">
            <w:pPr>
              <w:rPr>
                <w:noProof/>
              </w:rPr>
            </w:pPr>
            <w:r>
              <w:rPr>
                <w:noProof/>
              </w:rPr>
              <w:t xml:space="preserve">In the work of the Department of Children, Disability and Equality (DCDE), a recurring gap has been identified in the capacity to support parents of children with additional needs and the practitioners who assist them.  These gaps relate both to the availability of relevant parenting supports and practitioner training to respond to families with diverse and evolving needs.  </w:t>
            </w:r>
          </w:p>
          <w:p w14:paraId="72975885" w14:textId="77777777" w:rsidR="00F25207" w:rsidRDefault="00F25207" w:rsidP="00F25207">
            <w:pPr>
              <w:rPr>
                <w:noProof/>
              </w:rPr>
            </w:pPr>
            <w:r>
              <w:rPr>
                <w:noProof/>
              </w:rPr>
              <w:t xml:space="preserve">The purpose of this research is to </w:t>
            </w:r>
          </w:p>
          <w:p w14:paraId="332BCCE5" w14:textId="77777777" w:rsidR="00F25207" w:rsidRDefault="00F25207" w:rsidP="00F25207">
            <w:pPr>
              <w:rPr>
                <w:noProof/>
              </w:rPr>
            </w:pPr>
            <w:r>
              <w:rPr>
                <w:noProof/>
              </w:rPr>
              <w:t>1.</w:t>
            </w:r>
            <w:r>
              <w:rPr>
                <w:noProof/>
              </w:rPr>
              <w:tab/>
              <w:t>Identify the most helpful non therapeutic parenting supports for parents of children, up to 18 years,  with additional needs  throughout their journey</w:t>
            </w:r>
          </w:p>
          <w:p w14:paraId="58F33A1D" w14:textId="32603A4B" w:rsidR="003C0FB1" w:rsidRDefault="00F25207" w:rsidP="00F25207">
            <w:r>
              <w:rPr>
                <w:noProof/>
              </w:rPr>
              <w:t>2.</w:t>
            </w:r>
            <w:r>
              <w:rPr>
                <w:noProof/>
              </w:rPr>
              <w:tab/>
              <w:t>Identify training and supports that best equip practitioners to support parents of children with additional needs.</w:t>
            </w:r>
            <w:r w:rsidR="00757561">
              <w:fldChar w:fldCharType="end"/>
            </w:r>
            <w:bookmarkEnd w:id="1"/>
            <w:r w:rsidR="003C0FB1"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372CD0CE"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bookmarkEnd w:id="2"/>
          </w:p>
          <w:p w14:paraId="44A17398" w14:textId="1C534EA5"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4D5E6D">
              <w:t> </w:t>
            </w:r>
            <w:r>
              <w:fldChar w:fldCharType="end"/>
            </w:r>
            <w:bookmarkEnd w:id="3"/>
            <w:r>
              <w:t xml:space="preserve"> </w:t>
            </w:r>
            <w:r w:rsidRPr="00E13A0D">
              <w:t>lots (each a “Lot”) as described below.  Each Lot will result in a separate contract.</w:t>
            </w:r>
          </w:p>
          <w:p w14:paraId="00DC7985" w14:textId="73493E10"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4D5E6D">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31E33521"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97690B">
              <w:rPr>
                <w:b/>
              </w:rPr>
              <w:t>12</w:t>
            </w:r>
            <w:r w:rsidR="00471150">
              <w:rPr>
                <w:noProof/>
              </w:rPr>
              <w:t xml:space="preserve"> months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1596113B"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7E582E">
              <w:rPr>
                <w:i/>
                <w:iCs/>
                <w:color w:val="FF0000"/>
              </w:rPr>
              <w:t> </w:t>
            </w:r>
            <w:r w:rsidR="007E582E">
              <w:rPr>
                <w:i/>
                <w:iCs/>
                <w:color w:val="FF0000"/>
              </w:rPr>
              <w:t> </w:t>
            </w:r>
            <w:r w:rsidRPr="003650CE">
              <w:rPr>
                <w:i/>
                <w:iCs/>
                <w:color w:val="FF0000"/>
              </w:rPr>
              <w:fldChar w:fldCharType="end"/>
            </w:r>
            <w:bookmarkEnd w:id="5"/>
          </w:p>
          <w:p w14:paraId="295B2DAB" w14:textId="4076822C"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471150">
              <w:rPr>
                <w:highlight w:val="lightGray"/>
              </w:rPr>
              <w:t>6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471150">
              <w:rPr>
                <w:highlight w:val="lightGray"/>
              </w:rPr>
              <w:t>2</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1D6CA23C"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471150">
              <w:rPr>
                <w:i/>
                <w:color w:val="FF0000"/>
                <w:highlight w:val="lightGray"/>
              </w:rPr>
              <w:t> </w:t>
            </w:r>
            <w:r w:rsidR="00471150">
              <w:rPr>
                <w:i/>
                <w:color w:val="FF0000"/>
                <w:highlight w:val="lightGray"/>
              </w:rPr>
              <w:t> </w:t>
            </w:r>
            <w:r w:rsidR="00471150">
              <w:rPr>
                <w:i/>
                <w:color w:val="FF0000"/>
                <w:highlight w:val="lightGray"/>
              </w:rPr>
              <w:t> </w:t>
            </w:r>
            <w:r w:rsidR="00471150">
              <w:rPr>
                <w:i/>
                <w:color w:val="FF0000"/>
                <w:highlight w:val="lightGray"/>
              </w:rPr>
              <w:t> </w:t>
            </w:r>
            <w:r w:rsidR="00471150">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471150">
              <w:rPr>
                <w:noProof/>
                <w:szCs w:val="22"/>
              </w:rPr>
              <w:t>€70,000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 xml:space="preserve">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w:t>
            </w:r>
            <w:r w:rsidRPr="000E5DB7">
              <w:lastRenderedPageBreak/>
              <w:t>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4D7303F2"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471150">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 xml:space="preserve">seeking written clarification from the </w:t>
            </w:r>
            <w:proofErr w:type="gramStart"/>
            <w:r w:rsidRPr="000E5DB7">
              <w:t>Tenderer;</w:t>
            </w:r>
            <w:proofErr w:type="gramEnd"/>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22806FD0"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r w:rsidRPr="00A76E64">
                      <w:rPr>
                        <w:highlight w:val="lightGray"/>
                      </w:rPr>
                      <w:t xml:space="preserve">In order to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w:t>
                    </w:r>
                    <w:proofErr w:type="spellStart"/>
                    <w:r w:rsidRPr="00A76E64">
                      <w:rPr>
                        <w:highlight w:val="lightGray"/>
                      </w:rPr>
                      <w:t>eTenders</w:t>
                    </w:r>
                    <w:proofErr w:type="spellEnd"/>
                    <w:r w:rsidRPr="00A76E64">
                      <w:rPr>
                        <w:highlight w:val="lightGray"/>
                      </w:rPr>
                      <w:t xml:space="preserve">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00F4CA9E" w:rsidR="00977CC4" w:rsidRPr="007B7D0E" w:rsidRDefault="006D46F7" w:rsidP="00471150">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48974031"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EC3FBC">
              <w:t>14</w:t>
            </w:r>
            <w:r w:rsidR="00471150">
              <w:rPr>
                <w:noProof/>
              </w:rPr>
              <w:t>.00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830592">
              <w:t>10</w:t>
            </w:r>
            <w:r w:rsidR="00830592" w:rsidRPr="00830592">
              <w:rPr>
                <w:vertAlign w:val="superscript"/>
              </w:rPr>
              <w:t>th</w:t>
            </w:r>
            <w:r w:rsidR="00830592">
              <w:t xml:space="preserve"> July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199351AA"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0156DF07"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4240C4">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471150">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62EEA4F7"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3270FE">
              <w:rPr>
                <w:noProof/>
              </w:rPr>
              <w:t>[</w:t>
            </w:r>
            <w:r w:rsidR="00471150">
              <w:rPr>
                <w:noProof/>
              </w:rPr>
              <w:t xml:space="preserve">Microsoft Word, </w:t>
            </w:r>
            <w:r w:rsidR="00FC7944">
              <w:rPr>
                <w:noProof/>
              </w:rPr>
              <w:t>Excel or</w:t>
            </w:r>
            <w:r w:rsidR="00471150">
              <w:rPr>
                <w:noProof/>
              </w:rPr>
              <w:t xml:space="preserve"> 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08196572"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516C6C">
              <w:t>14.00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851FC9">
              <w:t>24</w:t>
            </w:r>
            <w:r w:rsidR="00851FC9" w:rsidRPr="00851FC9">
              <w:rPr>
                <w:vertAlign w:val="superscript"/>
              </w:rPr>
              <w:t>th</w:t>
            </w:r>
            <w:r w:rsidR="00851FC9">
              <w:t xml:space="preserve"> June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7952BD11"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97690B">
              <w:t>6 months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4AF16822"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Used</w:t>
            </w:r>
            <w:r w:rsidRPr="004C1900">
              <w:rPr>
                <w:i/>
                <w:iCs/>
                <w:color w:val="FF0000"/>
                <w:highlight w:val="lightGray"/>
              </w:rPr>
              <w:fldChar w:fldCharType="end"/>
            </w:r>
          </w:p>
          <w:p w14:paraId="0E392840" w14:textId="732DC142"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D15BC8">
              <w:rPr>
                <w:szCs w:val="22"/>
              </w:rPr>
              <w:t> </w:t>
            </w:r>
            <w:r w:rsidR="00D15BC8">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D15BC8">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0C2A4408" w14:textId="45DCC01B" w:rsidR="00BB5E9D" w:rsidRPr="00DC28E8" w:rsidRDefault="00DC28E8" w:rsidP="00740110">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r w:rsidR="00740110" w:rsidRPr="00DC28E8">
                  <w:rPr>
                    <w:highlight w:val="lightGray"/>
                  </w:rPr>
                  <w:t xml:space="preserve"> </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080BAF74"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r w:rsidR="00740110" w:rsidRPr="00227275">
              <w:rPr>
                <w:highlight w:val="lightGray"/>
              </w:rPr>
              <w:t xml:space="preserve"> </w:t>
            </w:r>
          </w:p>
          <w:p w14:paraId="56F72B09" w14:textId="168BBE39"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740110">
              <w:rPr>
                <w:highlight w:val="lightGray"/>
              </w:rPr>
              <w:t> </w:t>
            </w:r>
            <w:r w:rsidR="00740110">
              <w:rPr>
                <w:highlight w:val="lightGray"/>
              </w:rPr>
              <w:t> </w:t>
            </w:r>
            <w:r w:rsidR="00740110">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676EC405"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90105" w:rsidRPr="00D90105">
                    <w:rPr>
                      <w:noProof/>
                      <w:sz w:val="22"/>
                      <w:szCs w:val="22"/>
                    </w:rPr>
                    <w:t>€12.7m</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1F62DEAB"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90105" w:rsidRPr="00D90105">
                    <w:rPr>
                      <w:noProof/>
                      <w:sz w:val="22"/>
                      <w:szCs w:val="22"/>
                    </w:rPr>
                    <w:t>€6.5m</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77777777"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7777777"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7777777"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c>
                <w:tcPr>
                  <w:tcW w:w="2500" w:type="pct"/>
                  <w:vAlign w:val="center"/>
                </w:tcPr>
                <w:p w14:paraId="474CE49A" w14:textId="77777777"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1247E0BB"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740110">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22133E49"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sidR="00740110">
              <w:rPr>
                <w:i/>
                <w:iCs/>
                <w:color w:val="FF0000"/>
              </w:rPr>
              <w:t> </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proofErr w:type="gramStart"/>
            <w:r w:rsidR="002F0288">
              <w:rPr>
                <w:rFonts w:ascii="Calibri" w:eastAsia="Times New Roman" w:hAnsi="Calibri"/>
                <w:szCs w:val="22"/>
                <w:lang w:eastAsia="en-US"/>
              </w:rPr>
              <w:t>4</w:t>
            </w:r>
            <w:r w:rsidRPr="003215FF">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w:t>
            </w:r>
            <w:proofErr w:type="gramStart"/>
            <w:r w:rsidR="00FB7237">
              <w:rPr>
                <w:rFonts w:ascii="Calibri" w:eastAsia="Times New Roman" w:hAnsi="Calibri"/>
                <w:szCs w:val="22"/>
                <w:lang w:val="en-IE" w:eastAsia="en-US"/>
              </w:rPr>
              <w:t>Ground;</w:t>
            </w:r>
            <w:proofErr w:type="gramEnd"/>
            <w:r w:rsidR="00FB7237">
              <w:rPr>
                <w:rFonts w:ascii="Calibri" w:eastAsia="Times New Roman" w:hAnsi="Calibri"/>
                <w:szCs w:val="22"/>
                <w:lang w:val="en-IE" w:eastAsia="en-US"/>
              </w:rPr>
              <w:t xml:space="preserve">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 xml:space="preserve">pecified at paragraph 3.2 </w:t>
            </w:r>
            <w:proofErr w:type="gramStart"/>
            <w:r w:rsidR="00FB7237">
              <w:rPr>
                <w:rFonts w:ascii="Calibri" w:eastAsia="Times New Roman" w:hAnsi="Calibri"/>
                <w:szCs w:val="22"/>
                <w:lang w:eastAsia="en-US"/>
              </w:rPr>
              <w:t>below;</w:t>
            </w:r>
            <w:proofErr w:type="gramEnd"/>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2067E822"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740110">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266BEB66" w14:textId="31E4AC77" w:rsidR="005836BD" w:rsidRPr="00583CF6" w:rsidRDefault="005836BD" w:rsidP="005836BD">
          <w:r w:rsidRPr="00583CF6">
            <w:t>Tenderers must confirm that the average annual turnover of the Tenderer for the last three (3) financial years is equal to or exceeds €70</w:t>
          </w:r>
          <w:r w:rsidR="00EB6198">
            <w:t>,</w:t>
          </w:r>
          <w:r w:rsidRPr="00583CF6">
            <w:t>000 (excluding VAT), or alternatively, if the date of establishment was more recent, the turnover is equal to or exceeds €70</w:t>
          </w:r>
          <w:r w:rsidR="00EB6198">
            <w:t>,</w:t>
          </w:r>
          <w:r w:rsidRPr="00583CF6">
            <w:t>000 for the years the Tenderer has been established (pro-rata for companies established within one year).</w:t>
          </w:r>
        </w:p>
        <w:p w14:paraId="52B65A2B" w14:textId="15325F48" w:rsidR="00C3103B" w:rsidRPr="00310EDC" w:rsidRDefault="006D46F7" w:rsidP="00B61DAD">
          <w:pPr>
            <w:spacing w:after="0"/>
          </w:pP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096181C1"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740110">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740110">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561C4EC9" w14:textId="77777777" w:rsidR="005836BD" w:rsidRPr="00A826E0" w:rsidRDefault="005836BD" w:rsidP="005836BD">
          <w:r w:rsidRPr="00A826E0">
            <w:t xml:space="preserve">Tenderers must demonstrate that they have the level of experience to provide high quality services of a similar type to those sought therein; Tenderers must provide the following documentation at the time of submission of their Tender to demonstrate this qualification criterion: </w:t>
          </w:r>
        </w:p>
        <w:p w14:paraId="170762DE" w14:textId="77777777" w:rsidR="005836BD" w:rsidRPr="00A826E0" w:rsidRDefault="005836BD" w:rsidP="005836BD"/>
        <w:p w14:paraId="11689D11" w14:textId="77777777" w:rsidR="005836BD" w:rsidRPr="00A826E0" w:rsidRDefault="005836BD" w:rsidP="005836BD">
          <w:proofErr w:type="spellStart"/>
          <w:r w:rsidRPr="00A826E0">
            <w:t>i</w:t>
          </w:r>
          <w:proofErr w:type="spellEnd"/>
          <w:r w:rsidRPr="00A826E0">
            <w:t xml:space="preserve">) The Curriculum Vitae of key personnel who will be assigned by the successful Tenderer, and as identified in your Tender, who demonstrate the relevant skills and experience in relation to the services sought. It is of a paramount importance that the team has and can demonstrate the capability and expertise necessary to undertake the evaluation. </w:t>
          </w:r>
          <w:proofErr w:type="gramStart"/>
          <w:r w:rsidRPr="00A826E0">
            <w:t>CV’s</w:t>
          </w:r>
          <w:proofErr w:type="gramEnd"/>
          <w:r w:rsidRPr="00A826E0">
            <w:t xml:space="preserve"> submitted must be no longer than 2-3 pages.</w:t>
          </w:r>
        </w:p>
        <w:p w14:paraId="755E546A" w14:textId="77777777" w:rsidR="005836BD" w:rsidRPr="00A826E0" w:rsidRDefault="005836BD" w:rsidP="005836BD"/>
        <w:p w14:paraId="3ED94C09" w14:textId="77777777" w:rsidR="005836BD" w:rsidRPr="00A826E0" w:rsidRDefault="005836BD" w:rsidP="005836BD">
          <w:r w:rsidRPr="00A826E0">
            <w:t>ii) Tenderers must demonstrate that the person or team is available to work over the proposed time frame.</w:t>
          </w:r>
        </w:p>
        <w:p w14:paraId="3146D3E8" w14:textId="77777777" w:rsidR="005836BD" w:rsidRPr="00A826E0" w:rsidRDefault="005836BD" w:rsidP="005836BD"/>
        <w:p w14:paraId="053C2E92" w14:textId="77777777" w:rsidR="005836BD" w:rsidRPr="00A826E0" w:rsidRDefault="005836BD" w:rsidP="005836BD">
          <w:r w:rsidRPr="00A826E0">
            <w:t>iii) Tenderers must provide details of a minimum of two related projects provided in the last five years and a description of the scale of the projects, dates and services provided.</w:t>
          </w:r>
        </w:p>
        <w:p w14:paraId="70D34EDC" w14:textId="77777777" w:rsidR="005836BD" w:rsidRPr="00A826E0" w:rsidRDefault="005836BD" w:rsidP="005836BD"/>
        <w:p w14:paraId="7585341F" w14:textId="77777777" w:rsidR="005836BD" w:rsidRPr="00A826E0" w:rsidRDefault="005836BD" w:rsidP="005836BD">
          <w:r w:rsidRPr="00A826E0">
            <w:t>iv) Tenderers must provide details of two referees associated with these projects (including contact names and details) and detail how the services provided are relevant to the services sought and requirements of this work. The Contracting Authority may contact any or all referees without prior notice being given to the Tenderer.</w:t>
          </w:r>
        </w:p>
        <w:p w14:paraId="53202E74" w14:textId="122D802D" w:rsidR="005836BD" w:rsidRPr="00310EDC" w:rsidRDefault="005836BD" w:rsidP="005836BD">
          <w:pPr>
            <w:spacing w:after="0"/>
          </w:pPr>
        </w:p>
        <w:p w14:paraId="14A2EFF6" w14:textId="07F86197" w:rsidR="00C3103B" w:rsidRPr="00310EDC" w:rsidRDefault="006D46F7" w:rsidP="00D35AA7">
          <w:pPr>
            <w:spacing w:after="0"/>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p w14:paraId="2E6D5AB5" w14:textId="77777777" w:rsidR="00BF2644" w:rsidRPr="00077A8E" w:rsidRDefault="00BF2644" w:rsidP="00BF2644">
      <w:pPr>
        <w:rPr>
          <w:rFonts w:cs="Calibri"/>
          <w:szCs w:val="22"/>
        </w:rPr>
      </w:pPr>
    </w:p>
    <w:tbl>
      <w:tblPr>
        <w:tblStyle w:val="TableGrid"/>
        <w:tblW w:w="0" w:type="auto"/>
        <w:tblLook w:val="04A0" w:firstRow="1" w:lastRow="0" w:firstColumn="1" w:lastColumn="0" w:noHBand="0" w:noVBand="1"/>
      </w:tblPr>
      <w:tblGrid>
        <w:gridCol w:w="846"/>
        <w:gridCol w:w="5386"/>
        <w:gridCol w:w="1418"/>
        <w:gridCol w:w="1366"/>
      </w:tblGrid>
      <w:tr w:rsidR="00BF2644" w:rsidRPr="00077A8E" w14:paraId="0BB4503B" w14:textId="77777777" w:rsidTr="00BB27C5">
        <w:tc>
          <w:tcPr>
            <w:tcW w:w="846" w:type="dxa"/>
            <w:shd w:val="clear" w:color="auto" w:fill="DEEAF6" w:themeFill="accent1" w:themeFillTint="33"/>
            <w:vAlign w:val="center"/>
          </w:tcPr>
          <w:p w14:paraId="343D9FE8" w14:textId="77777777" w:rsidR="00BF2644" w:rsidRPr="00077A8E" w:rsidRDefault="00BF2644" w:rsidP="00BB27C5">
            <w:pPr>
              <w:jc w:val="center"/>
              <w:rPr>
                <w:rFonts w:cs="Calibri"/>
                <w:b/>
                <w:bCs/>
                <w:sz w:val="22"/>
                <w:szCs w:val="22"/>
              </w:rPr>
            </w:pPr>
          </w:p>
        </w:tc>
        <w:tc>
          <w:tcPr>
            <w:tcW w:w="5386" w:type="dxa"/>
            <w:shd w:val="clear" w:color="auto" w:fill="DEEAF6" w:themeFill="accent1" w:themeFillTint="33"/>
            <w:vAlign w:val="center"/>
          </w:tcPr>
          <w:p w14:paraId="3B2C4C11" w14:textId="77777777" w:rsidR="00BF2644" w:rsidRPr="00077A8E" w:rsidRDefault="00BF2644" w:rsidP="00BB27C5">
            <w:pPr>
              <w:jc w:val="center"/>
              <w:rPr>
                <w:rFonts w:cs="Calibri"/>
                <w:b/>
                <w:bCs/>
                <w:sz w:val="22"/>
                <w:szCs w:val="22"/>
              </w:rPr>
            </w:pPr>
            <w:r w:rsidRPr="00077A8E">
              <w:rPr>
                <w:rFonts w:cs="Calibri"/>
                <w:b/>
                <w:bCs/>
                <w:sz w:val="22"/>
                <w:szCs w:val="22"/>
              </w:rPr>
              <w:t>Award Criteria</w:t>
            </w:r>
          </w:p>
        </w:tc>
        <w:tc>
          <w:tcPr>
            <w:tcW w:w="1418" w:type="dxa"/>
            <w:shd w:val="clear" w:color="auto" w:fill="DEEAF6" w:themeFill="accent1" w:themeFillTint="33"/>
            <w:vAlign w:val="center"/>
          </w:tcPr>
          <w:p w14:paraId="2D6EF847" w14:textId="77777777" w:rsidR="00BF2644" w:rsidRPr="00077A8E" w:rsidRDefault="00BF2644" w:rsidP="00BB27C5">
            <w:pPr>
              <w:jc w:val="center"/>
              <w:rPr>
                <w:rFonts w:cs="Calibri"/>
                <w:b/>
                <w:bCs/>
                <w:sz w:val="22"/>
                <w:szCs w:val="22"/>
              </w:rPr>
            </w:pPr>
            <w:r w:rsidRPr="00077A8E">
              <w:rPr>
                <w:rFonts w:cs="Calibri"/>
                <w:b/>
                <w:bCs/>
                <w:sz w:val="22"/>
                <w:szCs w:val="22"/>
              </w:rPr>
              <w:t>Marks Available</w:t>
            </w:r>
          </w:p>
        </w:tc>
        <w:tc>
          <w:tcPr>
            <w:tcW w:w="1366" w:type="dxa"/>
            <w:shd w:val="clear" w:color="auto" w:fill="DEEAF6" w:themeFill="accent1" w:themeFillTint="33"/>
          </w:tcPr>
          <w:p w14:paraId="153775F1" w14:textId="77777777" w:rsidR="00BF2644" w:rsidRPr="00077A8E" w:rsidRDefault="00BF2644" w:rsidP="00BB27C5">
            <w:pPr>
              <w:jc w:val="center"/>
              <w:rPr>
                <w:rFonts w:cs="Calibri"/>
                <w:b/>
                <w:bCs/>
                <w:sz w:val="22"/>
                <w:szCs w:val="22"/>
              </w:rPr>
            </w:pPr>
            <w:r w:rsidRPr="00077A8E">
              <w:rPr>
                <w:rFonts w:cs="Calibri"/>
                <w:b/>
                <w:bCs/>
                <w:sz w:val="22"/>
                <w:szCs w:val="22"/>
              </w:rPr>
              <w:t>Minimum Marks (60%)</w:t>
            </w:r>
          </w:p>
        </w:tc>
      </w:tr>
      <w:tr w:rsidR="00BF2644" w:rsidRPr="00077A8E" w14:paraId="61E650BD" w14:textId="77777777" w:rsidTr="00BB27C5">
        <w:tc>
          <w:tcPr>
            <w:tcW w:w="846" w:type="dxa"/>
          </w:tcPr>
          <w:p w14:paraId="1F76AB52" w14:textId="77777777" w:rsidR="00BF2644" w:rsidRPr="00204490" w:rsidRDefault="00BF2644" w:rsidP="002C6B49">
            <w:pPr>
              <w:spacing w:after="0" w:line="240" w:lineRule="auto"/>
              <w:jc w:val="center"/>
              <w:rPr>
                <w:rFonts w:cs="Calibri"/>
                <w:b/>
                <w:bCs/>
                <w:sz w:val="22"/>
                <w:szCs w:val="22"/>
              </w:rPr>
            </w:pPr>
            <w:r w:rsidRPr="00204490">
              <w:rPr>
                <w:rFonts w:cs="Calibri"/>
                <w:b/>
                <w:bCs/>
                <w:sz w:val="22"/>
                <w:szCs w:val="22"/>
              </w:rPr>
              <w:t>1.</w:t>
            </w:r>
          </w:p>
          <w:p w14:paraId="269731FF" w14:textId="77777777" w:rsidR="00BF2644" w:rsidRDefault="00BF2644" w:rsidP="002C6B49">
            <w:pPr>
              <w:spacing w:after="0" w:line="240" w:lineRule="auto"/>
              <w:jc w:val="center"/>
              <w:rPr>
                <w:rFonts w:cs="Calibri"/>
                <w:sz w:val="22"/>
                <w:szCs w:val="22"/>
              </w:rPr>
            </w:pPr>
          </w:p>
          <w:p w14:paraId="1165C8E0" w14:textId="77777777" w:rsidR="00BF2644" w:rsidRDefault="00BF2644" w:rsidP="002C6B49">
            <w:pPr>
              <w:spacing w:after="0" w:line="240" w:lineRule="auto"/>
              <w:jc w:val="center"/>
              <w:rPr>
                <w:rFonts w:cs="Calibri"/>
                <w:sz w:val="22"/>
                <w:szCs w:val="22"/>
              </w:rPr>
            </w:pPr>
          </w:p>
          <w:p w14:paraId="08D7E68F" w14:textId="77777777" w:rsidR="00BF2644" w:rsidRDefault="00BF2644" w:rsidP="002C6B49">
            <w:pPr>
              <w:spacing w:after="0" w:line="240" w:lineRule="auto"/>
              <w:jc w:val="center"/>
              <w:rPr>
                <w:rFonts w:cs="Calibri"/>
                <w:sz w:val="22"/>
                <w:szCs w:val="22"/>
              </w:rPr>
            </w:pPr>
          </w:p>
          <w:p w14:paraId="5DB4C3BB" w14:textId="77777777" w:rsidR="00BF2644" w:rsidRDefault="00BF2644" w:rsidP="002C6B49">
            <w:pPr>
              <w:spacing w:after="0" w:line="240" w:lineRule="auto"/>
              <w:jc w:val="center"/>
              <w:rPr>
                <w:rFonts w:cs="Calibri"/>
                <w:sz w:val="22"/>
                <w:szCs w:val="22"/>
              </w:rPr>
            </w:pPr>
          </w:p>
          <w:p w14:paraId="5EEC18DE" w14:textId="77777777" w:rsidR="002C6B49" w:rsidRDefault="002C6B49" w:rsidP="002C6B49">
            <w:pPr>
              <w:spacing w:after="0" w:line="240" w:lineRule="auto"/>
              <w:rPr>
                <w:rFonts w:cs="Calibri"/>
                <w:sz w:val="22"/>
                <w:szCs w:val="22"/>
              </w:rPr>
            </w:pPr>
          </w:p>
          <w:p w14:paraId="1367E8AF" w14:textId="77777777" w:rsidR="002C6B49" w:rsidRDefault="002C6B49" w:rsidP="002C6B49">
            <w:pPr>
              <w:spacing w:after="0" w:line="240" w:lineRule="auto"/>
              <w:rPr>
                <w:rFonts w:cs="Calibri"/>
                <w:sz w:val="22"/>
                <w:szCs w:val="22"/>
              </w:rPr>
            </w:pPr>
          </w:p>
          <w:p w14:paraId="4C9F69FA" w14:textId="77777777" w:rsidR="002C6B49" w:rsidRDefault="002C6B49" w:rsidP="002C6B49">
            <w:pPr>
              <w:spacing w:after="0" w:line="240" w:lineRule="auto"/>
              <w:rPr>
                <w:rFonts w:cs="Calibri"/>
                <w:sz w:val="22"/>
                <w:szCs w:val="22"/>
              </w:rPr>
            </w:pPr>
          </w:p>
          <w:p w14:paraId="2637D7D8" w14:textId="77777777" w:rsidR="002C6B49" w:rsidRDefault="002C6B49" w:rsidP="002C6B49">
            <w:pPr>
              <w:spacing w:after="0" w:line="240" w:lineRule="auto"/>
              <w:rPr>
                <w:rFonts w:cs="Calibri"/>
                <w:sz w:val="22"/>
                <w:szCs w:val="22"/>
              </w:rPr>
            </w:pPr>
          </w:p>
          <w:p w14:paraId="5BCD3C8F" w14:textId="1AB17DE7" w:rsidR="00BF2644" w:rsidRDefault="00BF2644" w:rsidP="002C6B49">
            <w:pPr>
              <w:spacing w:after="0" w:line="240" w:lineRule="auto"/>
              <w:jc w:val="center"/>
              <w:rPr>
                <w:rFonts w:cs="Calibri"/>
                <w:sz w:val="22"/>
                <w:szCs w:val="22"/>
              </w:rPr>
            </w:pPr>
            <w:r>
              <w:rPr>
                <w:rFonts w:cs="Calibri"/>
                <w:sz w:val="22"/>
                <w:szCs w:val="22"/>
              </w:rPr>
              <w:t>1a</w:t>
            </w:r>
          </w:p>
          <w:p w14:paraId="6B9923BF" w14:textId="77777777" w:rsidR="00BF2644" w:rsidRDefault="00BF2644" w:rsidP="002C6B49">
            <w:pPr>
              <w:spacing w:after="0" w:line="240" w:lineRule="auto"/>
              <w:jc w:val="center"/>
              <w:rPr>
                <w:rFonts w:cs="Calibri"/>
                <w:sz w:val="22"/>
                <w:szCs w:val="22"/>
              </w:rPr>
            </w:pPr>
          </w:p>
          <w:p w14:paraId="6CFD4281" w14:textId="77777777" w:rsidR="00BF2644" w:rsidRDefault="00BF2644" w:rsidP="002C6B49">
            <w:pPr>
              <w:spacing w:after="0" w:line="240" w:lineRule="auto"/>
              <w:jc w:val="center"/>
              <w:rPr>
                <w:rFonts w:cs="Calibri"/>
                <w:sz w:val="22"/>
                <w:szCs w:val="22"/>
              </w:rPr>
            </w:pPr>
          </w:p>
          <w:p w14:paraId="4AED5343" w14:textId="77777777" w:rsidR="00BF2644" w:rsidRDefault="00BF2644" w:rsidP="002C6B49">
            <w:pPr>
              <w:spacing w:after="0" w:line="240" w:lineRule="auto"/>
              <w:jc w:val="center"/>
              <w:rPr>
                <w:rFonts w:cs="Calibri"/>
                <w:sz w:val="22"/>
                <w:szCs w:val="22"/>
              </w:rPr>
            </w:pPr>
          </w:p>
          <w:p w14:paraId="0DA009AF" w14:textId="77777777" w:rsidR="00BF2644" w:rsidRDefault="00BF2644" w:rsidP="002C6B49">
            <w:pPr>
              <w:spacing w:after="0" w:line="240" w:lineRule="auto"/>
              <w:jc w:val="center"/>
              <w:rPr>
                <w:rFonts w:cs="Calibri"/>
                <w:sz w:val="22"/>
                <w:szCs w:val="22"/>
              </w:rPr>
            </w:pPr>
          </w:p>
          <w:p w14:paraId="4FA037F8" w14:textId="77777777" w:rsidR="00BF2644" w:rsidRDefault="00BF2644" w:rsidP="002C6B49">
            <w:pPr>
              <w:spacing w:after="0" w:line="240" w:lineRule="auto"/>
              <w:jc w:val="center"/>
              <w:rPr>
                <w:rFonts w:cs="Calibri"/>
                <w:sz w:val="22"/>
                <w:szCs w:val="22"/>
              </w:rPr>
            </w:pPr>
            <w:r>
              <w:rPr>
                <w:rFonts w:cs="Calibri"/>
                <w:sz w:val="22"/>
                <w:szCs w:val="22"/>
              </w:rPr>
              <w:t>1b</w:t>
            </w:r>
          </w:p>
          <w:p w14:paraId="5090042D" w14:textId="77777777" w:rsidR="00BF2644" w:rsidRDefault="00BF2644" w:rsidP="002C6B49">
            <w:pPr>
              <w:spacing w:after="0" w:line="240" w:lineRule="auto"/>
              <w:jc w:val="center"/>
              <w:rPr>
                <w:rFonts w:cs="Calibri"/>
                <w:sz w:val="22"/>
                <w:szCs w:val="22"/>
              </w:rPr>
            </w:pPr>
          </w:p>
          <w:p w14:paraId="3FFD1F72" w14:textId="77777777" w:rsidR="00BF2644" w:rsidRDefault="00BF2644" w:rsidP="002C6B49">
            <w:pPr>
              <w:spacing w:after="0" w:line="240" w:lineRule="auto"/>
              <w:jc w:val="center"/>
              <w:rPr>
                <w:rFonts w:cs="Calibri"/>
                <w:sz w:val="22"/>
                <w:szCs w:val="22"/>
              </w:rPr>
            </w:pPr>
          </w:p>
          <w:p w14:paraId="6CAC1DDF" w14:textId="77777777" w:rsidR="00BF2644" w:rsidRDefault="00BF2644" w:rsidP="002C6B49">
            <w:pPr>
              <w:spacing w:after="0" w:line="240" w:lineRule="auto"/>
              <w:jc w:val="center"/>
              <w:rPr>
                <w:rFonts w:cs="Calibri"/>
                <w:sz w:val="22"/>
                <w:szCs w:val="22"/>
              </w:rPr>
            </w:pPr>
          </w:p>
          <w:p w14:paraId="2202DC77" w14:textId="77777777" w:rsidR="00BF2644" w:rsidRPr="00077A8E" w:rsidRDefault="00BF2644" w:rsidP="002C6B49">
            <w:pPr>
              <w:spacing w:after="0" w:line="240" w:lineRule="auto"/>
              <w:jc w:val="center"/>
              <w:rPr>
                <w:rFonts w:cs="Calibri"/>
                <w:sz w:val="22"/>
                <w:szCs w:val="22"/>
              </w:rPr>
            </w:pPr>
            <w:r>
              <w:rPr>
                <w:rFonts w:cs="Calibri"/>
                <w:sz w:val="22"/>
                <w:szCs w:val="22"/>
              </w:rPr>
              <w:t>1c</w:t>
            </w:r>
          </w:p>
        </w:tc>
        <w:tc>
          <w:tcPr>
            <w:tcW w:w="5386" w:type="dxa"/>
          </w:tcPr>
          <w:p w14:paraId="62D07CCC" w14:textId="77777777" w:rsidR="00BF2644" w:rsidRDefault="00BF2644" w:rsidP="002C6B49">
            <w:pPr>
              <w:spacing w:after="0" w:line="240" w:lineRule="auto"/>
              <w:rPr>
                <w:rFonts w:cs="Calibri"/>
                <w:b/>
                <w:bCs/>
                <w:sz w:val="22"/>
                <w:szCs w:val="22"/>
                <w:u w:val="single"/>
              </w:rPr>
            </w:pPr>
            <w:r w:rsidRPr="00077A8E">
              <w:rPr>
                <w:rFonts w:cs="Calibri"/>
                <w:b/>
                <w:bCs/>
                <w:sz w:val="22"/>
                <w:szCs w:val="22"/>
                <w:u w:val="single"/>
              </w:rPr>
              <w:t>Service Delivery Plan:</w:t>
            </w:r>
          </w:p>
          <w:p w14:paraId="73508775" w14:textId="77777777" w:rsidR="00BF2644" w:rsidRDefault="00BF2644" w:rsidP="002C6B49">
            <w:pPr>
              <w:spacing w:after="0" w:line="240" w:lineRule="auto"/>
              <w:rPr>
                <w:rFonts w:cs="Calibri"/>
                <w:color w:val="000000" w:themeColor="text1"/>
                <w:sz w:val="22"/>
                <w:szCs w:val="22"/>
              </w:rPr>
            </w:pPr>
          </w:p>
          <w:p w14:paraId="73697C2D" w14:textId="77777777" w:rsidR="00BF2644" w:rsidRDefault="00BF2644" w:rsidP="002C6B49">
            <w:pPr>
              <w:spacing w:after="0" w:line="240" w:lineRule="auto"/>
              <w:rPr>
                <w:rFonts w:cs="Calibri"/>
                <w:color w:val="000000" w:themeColor="text1"/>
                <w:sz w:val="22"/>
                <w:szCs w:val="22"/>
              </w:rPr>
            </w:pPr>
            <w:r w:rsidRPr="00077A8E">
              <w:rPr>
                <w:rFonts w:cs="Calibri"/>
                <w:color w:val="000000" w:themeColor="text1"/>
                <w:sz w:val="22"/>
                <w:szCs w:val="22"/>
              </w:rPr>
              <w:t xml:space="preserve">Tenderers must provide full details for their proposed project plan, to include delivery of the </w:t>
            </w:r>
            <w:r>
              <w:rPr>
                <w:rFonts w:cs="Calibri"/>
                <w:color w:val="000000" w:themeColor="text1"/>
                <w:sz w:val="22"/>
                <w:szCs w:val="22"/>
              </w:rPr>
              <w:t>study</w:t>
            </w:r>
            <w:r w:rsidRPr="00077A8E">
              <w:rPr>
                <w:rFonts w:cs="Calibri"/>
                <w:color w:val="000000" w:themeColor="text1"/>
                <w:sz w:val="22"/>
                <w:szCs w:val="22"/>
              </w:rPr>
              <w:t xml:space="preserve"> within budget and on time with a clear methodology for doing so. </w:t>
            </w:r>
          </w:p>
          <w:p w14:paraId="30CDC11C" w14:textId="77777777" w:rsidR="00BF2644" w:rsidRDefault="00BF2644" w:rsidP="002C6B49">
            <w:pPr>
              <w:spacing w:after="0" w:line="240" w:lineRule="auto"/>
              <w:rPr>
                <w:rFonts w:cs="Calibri"/>
                <w:color w:val="000000" w:themeColor="text1"/>
                <w:sz w:val="22"/>
                <w:szCs w:val="22"/>
              </w:rPr>
            </w:pPr>
          </w:p>
          <w:p w14:paraId="60762543" w14:textId="77777777" w:rsidR="00BF2644" w:rsidRDefault="00BF2644" w:rsidP="002C6B49">
            <w:pPr>
              <w:spacing w:after="0" w:line="240" w:lineRule="auto"/>
              <w:rPr>
                <w:rFonts w:cs="Calibri"/>
                <w:color w:val="000000" w:themeColor="text1"/>
                <w:sz w:val="22"/>
                <w:szCs w:val="22"/>
              </w:rPr>
            </w:pPr>
            <w:r>
              <w:rPr>
                <w:rFonts w:cs="Calibri"/>
                <w:color w:val="000000" w:themeColor="text1"/>
                <w:sz w:val="22"/>
                <w:szCs w:val="22"/>
              </w:rPr>
              <w:t>Sub Criteria and scoring is set out as follows:</w:t>
            </w:r>
          </w:p>
          <w:p w14:paraId="2F80703B" w14:textId="77777777" w:rsidR="00BF2644" w:rsidRDefault="00BF2644" w:rsidP="002C6B49">
            <w:pPr>
              <w:spacing w:after="0" w:line="240" w:lineRule="auto"/>
              <w:rPr>
                <w:rFonts w:cs="Calibri"/>
                <w:color w:val="000000" w:themeColor="text1"/>
                <w:sz w:val="22"/>
                <w:szCs w:val="22"/>
              </w:rPr>
            </w:pPr>
          </w:p>
          <w:p w14:paraId="6D5E48B2" w14:textId="77777777" w:rsidR="00BF2644" w:rsidRPr="00D3406C" w:rsidRDefault="00BF2644" w:rsidP="002C6B49">
            <w:pPr>
              <w:spacing w:after="0" w:line="240" w:lineRule="auto"/>
              <w:rPr>
                <w:sz w:val="22"/>
                <w:szCs w:val="22"/>
              </w:rPr>
            </w:pPr>
            <w:r w:rsidRPr="00D3406C">
              <w:rPr>
                <w:sz w:val="22"/>
                <w:szCs w:val="22"/>
              </w:rPr>
              <w:t xml:space="preserve">Tenderers must outline a clear understanding and approach to developing the study, this includes methodology and its application and proposed approaches to data collection and analysis. </w:t>
            </w:r>
          </w:p>
          <w:p w14:paraId="5517B685" w14:textId="77777777" w:rsidR="00BF2644" w:rsidRPr="00307B1B" w:rsidRDefault="00BF2644" w:rsidP="002C6B49">
            <w:pPr>
              <w:spacing w:after="0" w:line="240" w:lineRule="auto"/>
              <w:rPr>
                <w:sz w:val="22"/>
                <w:szCs w:val="22"/>
              </w:rPr>
            </w:pPr>
          </w:p>
          <w:p w14:paraId="09C1EEDA" w14:textId="77777777" w:rsidR="00BF2644" w:rsidRPr="00D3406C" w:rsidRDefault="00BF2644" w:rsidP="002C6B49">
            <w:pPr>
              <w:spacing w:after="0" w:line="240" w:lineRule="auto"/>
              <w:rPr>
                <w:sz w:val="22"/>
                <w:szCs w:val="22"/>
              </w:rPr>
            </w:pPr>
            <w:r w:rsidRPr="00D3406C">
              <w:rPr>
                <w:sz w:val="22"/>
                <w:szCs w:val="22"/>
              </w:rPr>
              <w:t xml:space="preserve">Tenderers must outline the strengths and limitations of the proposed approach and discuss how the findings will be analysed and communicated. </w:t>
            </w:r>
          </w:p>
          <w:p w14:paraId="6FF4CF33" w14:textId="77777777" w:rsidR="00BF2644" w:rsidRPr="00307B1B" w:rsidRDefault="00BF2644" w:rsidP="002C6B49">
            <w:pPr>
              <w:spacing w:after="0" w:line="240" w:lineRule="auto"/>
              <w:rPr>
                <w:sz w:val="22"/>
                <w:szCs w:val="22"/>
              </w:rPr>
            </w:pPr>
          </w:p>
          <w:p w14:paraId="1DBDC599" w14:textId="56141A89" w:rsidR="00BF2644" w:rsidRPr="00D3406C" w:rsidRDefault="00BF2644" w:rsidP="002C6B49">
            <w:pPr>
              <w:spacing w:after="0" w:line="240" w:lineRule="auto"/>
              <w:rPr>
                <w:rFonts w:cs="Calibri"/>
                <w:sz w:val="22"/>
                <w:szCs w:val="22"/>
              </w:rPr>
            </w:pPr>
            <w:r w:rsidRPr="00D3406C">
              <w:rPr>
                <w:sz w:val="22"/>
                <w:szCs w:val="22"/>
              </w:rPr>
              <w:t xml:space="preserve">Tenderers must </w:t>
            </w:r>
            <w:r w:rsidR="00EC08B9">
              <w:rPr>
                <w:sz w:val="22"/>
                <w:szCs w:val="22"/>
              </w:rPr>
              <w:t>provide</w:t>
            </w:r>
            <w:r w:rsidRPr="00D3406C">
              <w:rPr>
                <w:sz w:val="22"/>
                <w:szCs w:val="22"/>
              </w:rPr>
              <w:t xml:space="preserve"> the following: a proposed project plan, to include the achievement of key milestones and delivery of the project within budget and on time. </w:t>
            </w:r>
            <w:r w:rsidRPr="00D3406C">
              <w:rPr>
                <w:rFonts w:cs="Calibri"/>
                <w:color w:val="000000" w:themeColor="text1"/>
                <w:sz w:val="22"/>
                <w:szCs w:val="22"/>
              </w:rPr>
              <w:t xml:space="preserve">This must include a GANNT chart. </w:t>
            </w:r>
          </w:p>
          <w:p w14:paraId="145251FB" w14:textId="77777777" w:rsidR="00BF2644" w:rsidRDefault="00BF2644" w:rsidP="002C6B49">
            <w:pPr>
              <w:spacing w:after="0" w:line="240" w:lineRule="auto"/>
              <w:rPr>
                <w:rFonts w:cs="Calibri"/>
                <w:color w:val="000000" w:themeColor="text1"/>
                <w:sz w:val="22"/>
                <w:szCs w:val="22"/>
              </w:rPr>
            </w:pPr>
          </w:p>
          <w:p w14:paraId="351FC407" w14:textId="4A835EE5" w:rsidR="00BF2644" w:rsidRPr="00D3406C" w:rsidRDefault="00BF2644" w:rsidP="002C6B49">
            <w:pPr>
              <w:spacing w:after="0" w:line="240" w:lineRule="auto"/>
              <w:rPr>
                <w:rFonts w:cs="Calibri"/>
                <w:color w:val="000000" w:themeColor="text1"/>
                <w:sz w:val="22"/>
                <w:szCs w:val="22"/>
              </w:rPr>
            </w:pPr>
            <w:r w:rsidRPr="00D3406C">
              <w:rPr>
                <w:rFonts w:cs="Calibri"/>
                <w:color w:val="000000" w:themeColor="text1"/>
                <w:sz w:val="22"/>
                <w:szCs w:val="22"/>
              </w:rPr>
              <w:t xml:space="preserve">Tenderers must limit their total response to </w:t>
            </w:r>
            <w:r w:rsidRPr="00CE674E">
              <w:rPr>
                <w:rFonts w:cs="Calibri"/>
                <w:b/>
                <w:bCs/>
                <w:color w:val="000000" w:themeColor="text1"/>
                <w:sz w:val="22"/>
                <w:szCs w:val="22"/>
              </w:rPr>
              <w:t>ten (10)</w:t>
            </w:r>
            <w:r w:rsidRPr="00D3406C">
              <w:rPr>
                <w:rFonts w:cs="Calibri"/>
                <w:color w:val="000000" w:themeColor="text1"/>
                <w:sz w:val="22"/>
                <w:szCs w:val="22"/>
              </w:rPr>
              <w:t xml:space="preserve"> x A4 pages in length </w:t>
            </w:r>
            <w:r w:rsidR="00DD0820" w:rsidRPr="004B5457">
              <w:rPr>
                <w:rFonts w:asciiTheme="minorHAnsi" w:hAnsiTheme="minorHAnsi"/>
                <w:b/>
                <w:sz w:val="22"/>
                <w:szCs w:val="22"/>
              </w:rPr>
              <w:t>using Calibri Font Size 11</w:t>
            </w:r>
            <w:r w:rsidR="0035560A">
              <w:rPr>
                <w:rFonts w:asciiTheme="minorHAnsi" w:hAnsiTheme="minorHAnsi"/>
                <w:b/>
                <w:sz w:val="22"/>
                <w:szCs w:val="22"/>
              </w:rPr>
              <w:t xml:space="preserve"> text.</w:t>
            </w:r>
          </w:p>
          <w:p w14:paraId="1EB02313" w14:textId="77777777" w:rsidR="00BF2644" w:rsidRPr="00077A8E" w:rsidRDefault="00BF2644" w:rsidP="002C6B49">
            <w:pPr>
              <w:spacing w:after="0" w:line="240" w:lineRule="auto"/>
              <w:rPr>
                <w:rFonts w:cs="Calibri"/>
                <w:color w:val="000000" w:themeColor="text1"/>
                <w:sz w:val="22"/>
                <w:szCs w:val="22"/>
                <w:u w:val="single"/>
              </w:rPr>
            </w:pPr>
          </w:p>
        </w:tc>
        <w:tc>
          <w:tcPr>
            <w:tcW w:w="1418" w:type="dxa"/>
          </w:tcPr>
          <w:p w14:paraId="663E6445" w14:textId="77777777" w:rsidR="00BF2644" w:rsidRDefault="00BF2644" w:rsidP="002C6B49">
            <w:pPr>
              <w:spacing w:after="0" w:line="240" w:lineRule="auto"/>
              <w:jc w:val="center"/>
              <w:rPr>
                <w:rFonts w:cs="Calibri"/>
                <w:b/>
                <w:bCs/>
                <w:sz w:val="22"/>
                <w:szCs w:val="22"/>
              </w:rPr>
            </w:pPr>
          </w:p>
          <w:p w14:paraId="02999924" w14:textId="77777777" w:rsidR="00BF2644" w:rsidRDefault="00BF2644" w:rsidP="002C6B49">
            <w:pPr>
              <w:spacing w:after="0" w:line="240" w:lineRule="auto"/>
              <w:jc w:val="center"/>
              <w:rPr>
                <w:rFonts w:cs="Calibri"/>
                <w:b/>
                <w:bCs/>
                <w:sz w:val="22"/>
                <w:szCs w:val="22"/>
              </w:rPr>
            </w:pPr>
          </w:p>
          <w:p w14:paraId="5994A709" w14:textId="77777777" w:rsidR="00BF2644" w:rsidRDefault="00BF2644" w:rsidP="002C6B49">
            <w:pPr>
              <w:spacing w:after="0" w:line="240" w:lineRule="auto"/>
              <w:jc w:val="center"/>
              <w:rPr>
                <w:rFonts w:cs="Calibri"/>
                <w:b/>
                <w:bCs/>
                <w:sz w:val="22"/>
                <w:szCs w:val="22"/>
              </w:rPr>
            </w:pPr>
          </w:p>
          <w:p w14:paraId="36D8DD83" w14:textId="77777777" w:rsidR="00BF2644" w:rsidRDefault="00BF2644" w:rsidP="002C6B49">
            <w:pPr>
              <w:spacing w:after="0" w:line="240" w:lineRule="auto"/>
              <w:jc w:val="center"/>
              <w:rPr>
                <w:rFonts w:cs="Calibri"/>
                <w:b/>
                <w:bCs/>
                <w:sz w:val="22"/>
                <w:szCs w:val="22"/>
              </w:rPr>
            </w:pPr>
          </w:p>
          <w:p w14:paraId="38B6C1E2" w14:textId="77777777" w:rsidR="00BF2644" w:rsidRDefault="00BF2644" w:rsidP="002C6B49">
            <w:pPr>
              <w:spacing w:after="0" w:line="240" w:lineRule="auto"/>
              <w:jc w:val="center"/>
              <w:rPr>
                <w:rFonts w:cs="Calibri"/>
                <w:b/>
                <w:bCs/>
                <w:sz w:val="22"/>
                <w:szCs w:val="22"/>
              </w:rPr>
            </w:pPr>
          </w:p>
          <w:p w14:paraId="5638C607" w14:textId="77777777" w:rsidR="00BF2644" w:rsidRDefault="00BF2644" w:rsidP="002C6B49">
            <w:pPr>
              <w:spacing w:after="0" w:line="240" w:lineRule="auto"/>
              <w:jc w:val="center"/>
              <w:rPr>
                <w:rFonts w:cs="Calibri"/>
                <w:b/>
                <w:bCs/>
                <w:sz w:val="22"/>
                <w:szCs w:val="22"/>
              </w:rPr>
            </w:pPr>
          </w:p>
          <w:p w14:paraId="5B11ECF5" w14:textId="77777777" w:rsidR="00BF2644" w:rsidRDefault="00BF2644" w:rsidP="002C6B49">
            <w:pPr>
              <w:spacing w:after="0" w:line="240" w:lineRule="auto"/>
              <w:jc w:val="center"/>
              <w:rPr>
                <w:rFonts w:cs="Calibri"/>
                <w:b/>
                <w:bCs/>
                <w:sz w:val="22"/>
                <w:szCs w:val="22"/>
              </w:rPr>
            </w:pPr>
          </w:p>
          <w:p w14:paraId="59BC5ADA" w14:textId="77777777" w:rsidR="00BF2644" w:rsidRDefault="00BF2644" w:rsidP="002C6B49">
            <w:pPr>
              <w:spacing w:after="0" w:line="240" w:lineRule="auto"/>
              <w:jc w:val="center"/>
              <w:rPr>
                <w:rFonts w:cs="Calibri"/>
                <w:b/>
                <w:bCs/>
                <w:sz w:val="22"/>
                <w:szCs w:val="22"/>
              </w:rPr>
            </w:pPr>
          </w:p>
          <w:p w14:paraId="29F653F5" w14:textId="77777777" w:rsidR="00BF2644" w:rsidRDefault="00BF2644" w:rsidP="002C6B49">
            <w:pPr>
              <w:spacing w:after="0" w:line="240" w:lineRule="auto"/>
              <w:jc w:val="center"/>
              <w:rPr>
                <w:rFonts w:cs="Calibri"/>
                <w:b/>
                <w:bCs/>
                <w:sz w:val="22"/>
                <w:szCs w:val="22"/>
              </w:rPr>
            </w:pPr>
          </w:p>
          <w:p w14:paraId="69FFB405" w14:textId="77777777" w:rsidR="00BF2644" w:rsidRDefault="00BF2644" w:rsidP="002C6B49">
            <w:pPr>
              <w:spacing w:after="0" w:line="240" w:lineRule="auto"/>
              <w:jc w:val="center"/>
              <w:rPr>
                <w:rFonts w:cs="Calibri"/>
                <w:b/>
                <w:bCs/>
                <w:sz w:val="22"/>
                <w:szCs w:val="22"/>
              </w:rPr>
            </w:pPr>
            <w:r>
              <w:rPr>
                <w:rFonts w:cs="Calibri"/>
                <w:b/>
                <w:bCs/>
                <w:sz w:val="22"/>
                <w:szCs w:val="22"/>
              </w:rPr>
              <w:t>200</w:t>
            </w:r>
          </w:p>
          <w:p w14:paraId="11AA11BD" w14:textId="77777777" w:rsidR="00BF2644" w:rsidRDefault="00BF2644" w:rsidP="002C6B49">
            <w:pPr>
              <w:spacing w:after="0" w:line="240" w:lineRule="auto"/>
              <w:jc w:val="center"/>
              <w:rPr>
                <w:rFonts w:cs="Calibri"/>
                <w:b/>
                <w:bCs/>
                <w:sz w:val="22"/>
                <w:szCs w:val="22"/>
              </w:rPr>
            </w:pPr>
          </w:p>
          <w:p w14:paraId="4477450B" w14:textId="77777777" w:rsidR="00BF2644" w:rsidRDefault="00BF2644" w:rsidP="002C6B49">
            <w:pPr>
              <w:spacing w:after="0" w:line="240" w:lineRule="auto"/>
              <w:jc w:val="center"/>
              <w:rPr>
                <w:rFonts w:cs="Calibri"/>
                <w:b/>
                <w:bCs/>
                <w:sz w:val="22"/>
                <w:szCs w:val="22"/>
              </w:rPr>
            </w:pPr>
          </w:p>
          <w:p w14:paraId="2EA0987B" w14:textId="77777777" w:rsidR="00BF2644" w:rsidRDefault="00BF2644" w:rsidP="002C6B49">
            <w:pPr>
              <w:spacing w:after="0" w:line="240" w:lineRule="auto"/>
              <w:jc w:val="center"/>
              <w:rPr>
                <w:rFonts w:cs="Calibri"/>
                <w:b/>
                <w:bCs/>
                <w:sz w:val="22"/>
                <w:szCs w:val="22"/>
              </w:rPr>
            </w:pPr>
          </w:p>
          <w:p w14:paraId="62066639" w14:textId="77777777" w:rsidR="00BF2644" w:rsidRDefault="00BF2644" w:rsidP="002C6B49">
            <w:pPr>
              <w:spacing w:after="0" w:line="240" w:lineRule="auto"/>
              <w:jc w:val="center"/>
              <w:rPr>
                <w:rFonts w:cs="Calibri"/>
                <w:b/>
                <w:bCs/>
                <w:sz w:val="22"/>
                <w:szCs w:val="22"/>
              </w:rPr>
            </w:pPr>
          </w:p>
          <w:p w14:paraId="2A8C73BF" w14:textId="77777777" w:rsidR="00BF2644" w:rsidRDefault="00BF2644" w:rsidP="002C6B49">
            <w:pPr>
              <w:spacing w:after="0" w:line="240" w:lineRule="auto"/>
              <w:jc w:val="center"/>
              <w:rPr>
                <w:rFonts w:cs="Calibri"/>
                <w:b/>
                <w:bCs/>
                <w:sz w:val="22"/>
                <w:szCs w:val="22"/>
              </w:rPr>
            </w:pPr>
            <w:r>
              <w:rPr>
                <w:rFonts w:cs="Calibri"/>
                <w:b/>
                <w:bCs/>
                <w:sz w:val="22"/>
                <w:szCs w:val="22"/>
              </w:rPr>
              <w:t>100</w:t>
            </w:r>
          </w:p>
          <w:p w14:paraId="69413476" w14:textId="77777777" w:rsidR="00BF2644" w:rsidRDefault="00BF2644" w:rsidP="002C6B49">
            <w:pPr>
              <w:spacing w:after="0" w:line="240" w:lineRule="auto"/>
              <w:jc w:val="center"/>
              <w:rPr>
                <w:rFonts w:cs="Calibri"/>
                <w:b/>
                <w:bCs/>
                <w:sz w:val="22"/>
                <w:szCs w:val="22"/>
              </w:rPr>
            </w:pPr>
          </w:p>
          <w:p w14:paraId="0586770D" w14:textId="77777777" w:rsidR="00BF2644" w:rsidRDefault="00BF2644" w:rsidP="002C6B49">
            <w:pPr>
              <w:spacing w:after="0" w:line="240" w:lineRule="auto"/>
              <w:jc w:val="center"/>
              <w:rPr>
                <w:rFonts w:cs="Calibri"/>
                <w:b/>
                <w:bCs/>
                <w:sz w:val="22"/>
                <w:szCs w:val="22"/>
              </w:rPr>
            </w:pPr>
          </w:p>
          <w:p w14:paraId="1291DB95" w14:textId="77777777" w:rsidR="00BF2644" w:rsidRDefault="00BF2644" w:rsidP="002C6B49">
            <w:pPr>
              <w:spacing w:after="0" w:line="240" w:lineRule="auto"/>
              <w:jc w:val="center"/>
              <w:rPr>
                <w:rFonts w:cs="Calibri"/>
                <w:b/>
                <w:bCs/>
                <w:sz w:val="22"/>
                <w:szCs w:val="22"/>
              </w:rPr>
            </w:pPr>
          </w:p>
          <w:p w14:paraId="00A19CE7" w14:textId="77777777" w:rsidR="00BF2644" w:rsidRPr="00077A8E" w:rsidRDefault="00BF2644" w:rsidP="002C6B49">
            <w:pPr>
              <w:spacing w:after="0" w:line="240" w:lineRule="auto"/>
              <w:jc w:val="center"/>
              <w:rPr>
                <w:rFonts w:cs="Calibri"/>
                <w:b/>
                <w:bCs/>
                <w:sz w:val="22"/>
                <w:szCs w:val="22"/>
              </w:rPr>
            </w:pPr>
            <w:r>
              <w:rPr>
                <w:rFonts w:cs="Calibri"/>
                <w:b/>
                <w:bCs/>
                <w:sz w:val="22"/>
                <w:szCs w:val="22"/>
              </w:rPr>
              <w:t>100</w:t>
            </w:r>
          </w:p>
        </w:tc>
        <w:tc>
          <w:tcPr>
            <w:tcW w:w="1366" w:type="dxa"/>
          </w:tcPr>
          <w:p w14:paraId="530CFF1E" w14:textId="77777777" w:rsidR="00BF2644" w:rsidRDefault="00BF2644" w:rsidP="002C6B49">
            <w:pPr>
              <w:spacing w:after="0" w:line="240" w:lineRule="auto"/>
              <w:jc w:val="center"/>
              <w:rPr>
                <w:rFonts w:cs="Calibri"/>
                <w:b/>
                <w:bCs/>
                <w:sz w:val="22"/>
                <w:szCs w:val="22"/>
              </w:rPr>
            </w:pPr>
          </w:p>
          <w:p w14:paraId="34A3FA64" w14:textId="77777777" w:rsidR="00BF2644" w:rsidRDefault="00BF2644" w:rsidP="002C6B49">
            <w:pPr>
              <w:spacing w:after="0" w:line="240" w:lineRule="auto"/>
              <w:jc w:val="center"/>
              <w:rPr>
                <w:rFonts w:cs="Calibri"/>
                <w:b/>
                <w:bCs/>
                <w:sz w:val="22"/>
                <w:szCs w:val="22"/>
              </w:rPr>
            </w:pPr>
          </w:p>
          <w:p w14:paraId="11C9A121" w14:textId="77777777" w:rsidR="00BF2644" w:rsidRDefault="00BF2644" w:rsidP="002C6B49">
            <w:pPr>
              <w:spacing w:after="0" w:line="240" w:lineRule="auto"/>
              <w:jc w:val="center"/>
              <w:rPr>
                <w:rFonts w:cs="Calibri"/>
                <w:b/>
                <w:bCs/>
                <w:sz w:val="22"/>
                <w:szCs w:val="22"/>
              </w:rPr>
            </w:pPr>
          </w:p>
          <w:p w14:paraId="7F371772" w14:textId="77777777" w:rsidR="00BF2644" w:rsidRDefault="00BF2644" w:rsidP="002C6B49">
            <w:pPr>
              <w:spacing w:after="0" w:line="240" w:lineRule="auto"/>
              <w:jc w:val="center"/>
              <w:rPr>
                <w:rFonts w:cs="Calibri"/>
                <w:b/>
                <w:bCs/>
                <w:sz w:val="22"/>
                <w:szCs w:val="22"/>
              </w:rPr>
            </w:pPr>
          </w:p>
          <w:p w14:paraId="7F8B73E9" w14:textId="77777777" w:rsidR="00BF2644" w:rsidRDefault="00BF2644" w:rsidP="002C6B49">
            <w:pPr>
              <w:spacing w:after="0" w:line="240" w:lineRule="auto"/>
              <w:jc w:val="center"/>
              <w:rPr>
                <w:rFonts w:cs="Calibri"/>
                <w:b/>
                <w:bCs/>
                <w:sz w:val="22"/>
                <w:szCs w:val="22"/>
              </w:rPr>
            </w:pPr>
          </w:p>
          <w:p w14:paraId="23EAA975" w14:textId="77777777" w:rsidR="00BF2644" w:rsidRDefault="00BF2644" w:rsidP="002C6B49">
            <w:pPr>
              <w:spacing w:after="0" w:line="240" w:lineRule="auto"/>
              <w:jc w:val="center"/>
              <w:rPr>
                <w:rFonts w:cs="Calibri"/>
                <w:b/>
                <w:bCs/>
                <w:sz w:val="22"/>
                <w:szCs w:val="22"/>
              </w:rPr>
            </w:pPr>
          </w:p>
          <w:p w14:paraId="7C73B20F" w14:textId="77777777" w:rsidR="00BF2644" w:rsidRDefault="00BF2644" w:rsidP="002C6B49">
            <w:pPr>
              <w:spacing w:after="0" w:line="240" w:lineRule="auto"/>
              <w:jc w:val="center"/>
              <w:rPr>
                <w:rFonts w:cs="Calibri"/>
                <w:b/>
                <w:bCs/>
                <w:sz w:val="22"/>
                <w:szCs w:val="22"/>
              </w:rPr>
            </w:pPr>
          </w:p>
          <w:p w14:paraId="7D82F15E" w14:textId="77777777" w:rsidR="00BF2644" w:rsidRDefault="00BF2644" w:rsidP="002C6B49">
            <w:pPr>
              <w:spacing w:after="0" w:line="240" w:lineRule="auto"/>
              <w:jc w:val="center"/>
              <w:rPr>
                <w:rFonts w:cs="Calibri"/>
                <w:b/>
                <w:bCs/>
                <w:sz w:val="22"/>
                <w:szCs w:val="22"/>
              </w:rPr>
            </w:pPr>
          </w:p>
          <w:p w14:paraId="2372902C" w14:textId="77777777" w:rsidR="00BF2644" w:rsidRDefault="00BF2644" w:rsidP="002C6B49">
            <w:pPr>
              <w:spacing w:after="0" w:line="240" w:lineRule="auto"/>
              <w:jc w:val="center"/>
              <w:rPr>
                <w:rFonts w:cs="Calibri"/>
                <w:b/>
                <w:bCs/>
                <w:sz w:val="22"/>
                <w:szCs w:val="22"/>
              </w:rPr>
            </w:pPr>
          </w:p>
          <w:p w14:paraId="7D11A68C" w14:textId="77777777" w:rsidR="00BF2644" w:rsidRDefault="00BF2644" w:rsidP="002C6B49">
            <w:pPr>
              <w:spacing w:after="0" w:line="240" w:lineRule="auto"/>
              <w:jc w:val="center"/>
              <w:rPr>
                <w:rFonts w:cs="Calibri"/>
                <w:b/>
                <w:bCs/>
                <w:sz w:val="22"/>
                <w:szCs w:val="22"/>
              </w:rPr>
            </w:pPr>
            <w:r>
              <w:rPr>
                <w:rFonts w:cs="Calibri"/>
                <w:b/>
                <w:bCs/>
                <w:sz w:val="22"/>
                <w:szCs w:val="22"/>
              </w:rPr>
              <w:t>120</w:t>
            </w:r>
          </w:p>
          <w:p w14:paraId="292F3C67" w14:textId="77777777" w:rsidR="00BF2644" w:rsidRDefault="00BF2644" w:rsidP="002C6B49">
            <w:pPr>
              <w:spacing w:after="0" w:line="240" w:lineRule="auto"/>
              <w:jc w:val="center"/>
              <w:rPr>
                <w:rFonts w:cs="Calibri"/>
                <w:b/>
                <w:bCs/>
                <w:sz w:val="22"/>
                <w:szCs w:val="22"/>
              </w:rPr>
            </w:pPr>
          </w:p>
          <w:p w14:paraId="142CF27E" w14:textId="77777777" w:rsidR="00BF2644" w:rsidRDefault="00BF2644" w:rsidP="002C6B49">
            <w:pPr>
              <w:spacing w:after="0" w:line="240" w:lineRule="auto"/>
              <w:jc w:val="center"/>
              <w:rPr>
                <w:rFonts w:cs="Calibri"/>
                <w:b/>
                <w:bCs/>
                <w:sz w:val="22"/>
                <w:szCs w:val="22"/>
              </w:rPr>
            </w:pPr>
          </w:p>
          <w:p w14:paraId="1B5F92A8" w14:textId="77777777" w:rsidR="00BF2644" w:rsidRDefault="00BF2644" w:rsidP="002C6B49">
            <w:pPr>
              <w:spacing w:after="0" w:line="240" w:lineRule="auto"/>
              <w:jc w:val="center"/>
              <w:rPr>
                <w:rFonts w:cs="Calibri"/>
                <w:b/>
                <w:bCs/>
                <w:sz w:val="22"/>
                <w:szCs w:val="22"/>
              </w:rPr>
            </w:pPr>
          </w:p>
          <w:p w14:paraId="3C8A0A6D" w14:textId="77777777" w:rsidR="00BF2644" w:rsidRDefault="00BF2644" w:rsidP="002C6B49">
            <w:pPr>
              <w:spacing w:after="0" w:line="240" w:lineRule="auto"/>
              <w:jc w:val="center"/>
              <w:rPr>
                <w:rFonts w:cs="Calibri"/>
                <w:b/>
                <w:bCs/>
                <w:sz w:val="22"/>
                <w:szCs w:val="22"/>
              </w:rPr>
            </w:pPr>
          </w:p>
          <w:p w14:paraId="16BED7CF" w14:textId="77777777" w:rsidR="00BF2644" w:rsidRDefault="00BF2644" w:rsidP="002C6B49">
            <w:pPr>
              <w:spacing w:after="0" w:line="240" w:lineRule="auto"/>
              <w:jc w:val="center"/>
              <w:rPr>
                <w:rFonts w:cs="Calibri"/>
                <w:b/>
                <w:bCs/>
                <w:sz w:val="22"/>
                <w:szCs w:val="22"/>
              </w:rPr>
            </w:pPr>
            <w:r>
              <w:rPr>
                <w:rFonts w:cs="Calibri"/>
                <w:b/>
                <w:bCs/>
                <w:sz w:val="22"/>
                <w:szCs w:val="22"/>
              </w:rPr>
              <w:t>60</w:t>
            </w:r>
          </w:p>
          <w:p w14:paraId="3269DC5E" w14:textId="77777777" w:rsidR="00BF2644" w:rsidRDefault="00BF2644" w:rsidP="002C6B49">
            <w:pPr>
              <w:spacing w:after="0" w:line="240" w:lineRule="auto"/>
              <w:jc w:val="center"/>
              <w:rPr>
                <w:rFonts w:cs="Calibri"/>
                <w:b/>
                <w:bCs/>
                <w:sz w:val="22"/>
                <w:szCs w:val="22"/>
              </w:rPr>
            </w:pPr>
          </w:p>
          <w:p w14:paraId="2237D685" w14:textId="77777777" w:rsidR="00BF2644" w:rsidRDefault="00BF2644" w:rsidP="002C6B49">
            <w:pPr>
              <w:spacing w:after="0" w:line="240" w:lineRule="auto"/>
              <w:jc w:val="center"/>
              <w:rPr>
                <w:rFonts w:cs="Calibri"/>
                <w:b/>
                <w:bCs/>
                <w:sz w:val="22"/>
                <w:szCs w:val="22"/>
              </w:rPr>
            </w:pPr>
          </w:p>
          <w:p w14:paraId="532D7406" w14:textId="77777777" w:rsidR="00BF2644" w:rsidRDefault="00BF2644" w:rsidP="002C6B49">
            <w:pPr>
              <w:spacing w:after="0" w:line="240" w:lineRule="auto"/>
              <w:jc w:val="center"/>
              <w:rPr>
                <w:rFonts w:cs="Calibri"/>
                <w:b/>
                <w:bCs/>
                <w:sz w:val="22"/>
                <w:szCs w:val="22"/>
              </w:rPr>
            </w:pPr>
          </w:p>
          <w:p w14:paraId="11C8DD81" w14:textId="77777777" w:rsidR="00BF2644" w:rsidRPr="00077A8E" w:rsidRDefault="00BF2644" w:rsidP="002C6B49">
            <w:pPr>
              <w:spacing w:after="0" w:line="240" w:lineRule="auto"/>
              <w:jc w:val="center"/>
              <w:rPr>
                <w:rFonts w:cs="Calibri"/>
                <w:b/>
                <w:bCs/>
                <w:sz w:val="22"/>
                <w:szCs w:val="22"/>
              </w:rPr>
            </w:pPr>
            <w:r>
              <w:rPr>
                <w:rFonts w:cs="Calibri"/>
                <w:b/>
                <w:bCs/>
                <w:sz w:val="22"/>
                <w:szCs w:val="22"/>
              </w:rPr>
              <w:t>60</w:t>
            </w:r>
          </w:p>
        </w:tc>
      </w:tr>
      <w:tr w:rsidR="00BF2644" w:rsidRPr="00077A8E" w14:paraId="3ED1B348" w14:textId="77777777" w:rsidTr="00BB27C5">
        <w:tc>
          <w:tcPr>
            <w:tcW w:w="846" w:type="dxa"/>
          </w:tcPr>
          <w:p w14:paraId="5BB44950" w14:textId="77777777" w:rsidR="00BF2644" w:rsidRPr="00204490" w:rsidRDefault="00BF2644" w:rsidP="002C6B49">
            <w:pPr>
              <w:spacing w:after="0" w:line="240" w:lineRule="auto"/>
              <w:jc w:val="center"/>
              <w:rPr>
                <w:rFonts w:cs="Calibri"/>
                <w:b/>
                <w:bCs/>
                <w:sz w:val="22"/>
                <w:szCs w:val="22"/>
              </w:rPr>
            </w:pPr>
            <w:r w:rsidRPr="00204490">
              <w:rPr>
                <w:rFonts w:cs="Calibri"/>
                <w:b/>
                <w:bCs/>
                <w:sz w:val="22"/>
                <w:szCs w:val="22"/>
              </w:rPr>
              <w:t>2.</w:t>
            </w:r>
          </w:p>
        </w:tc>
        <w:tc>
          <w:tcPr>
            <w:tcW w:w="5386" w:type="dxa"/>
          </w:tcPr>
          <w:p w14:paraId="2E6D560F" w14:textId="77777777" w:rsidR="00BF2644" w:rsidRDefault="00BF2644" w:rsidP="002C6B49">
            <w:pPr>
              <w:spacing w:after="0" w:line="240" w:lineRule="auto"/>
              <w:rPr>
                <w:rFonts w:cs="Calibri"/>
                <w:b/>
                <w:bCs/>
                <w:sz w:val="22"/>
                <w:szCs w:val="22"/>
                <w:u w:val="single"/>
              </w:rPr>
            </w:pPr>
            <w:r w:rsidRPr="00077A8E">
              <w:rPr>
                <w:rFonts w:cs="Calibri"/>
                <w:b/>
                <w:bCs/>
                <w:sz w:val="22"/>
                <w:szCs w:val="22"/>
                <w:u w:val="single"/>
              </w:rPr>
              <w:t>Capacity to Meet Requirements:</w:t>
            </w:r>
          </w:p>
          <w:p w14:paraId="338B48AE" w14:textId="77777777" w:rsidR="00BF2644" w:rsidRPr="00077A8E" w:rsidRDefault="00BF2644" w:rsidP="002C6B49">
            <w:pPr>
              <w:spacing w:after="0" w:line="240" w:lineRule="auto"/>
              <w:rPr>
                <w:rFonts w:cs="Calibri"/>
                <w:b/>
                <w:bCs/>
                <w:sz w:val="22"/>
                <w:szCs w:val="22"/>
                <w:u w:val="single"/>
              </w:rPr>
            </w:pPr>
          </w:p>
          <w:p w14:paraId="016FFCC7" w14:textId="77777777" w:rsidR="00BF2644" w:rsidRPr="00307B1B" w:rsidRDefault="00BF2644" w:rsidP="002C6B49">
            <w:pPr>
              <w:spacing w:after="0" w:line="240" w:lineRule="auto"/>
              <w:rPr>
                <w:rFonts w:cs="Calibri"/>
                <w:b/>
                <w:bCs/>
                <w:sz w:val="22"/>
                <w:szCs w:val="22"/>
              </w:rPr>
            </w:pPr>
            <w:r w:rsidRPr="00307B1B">
              <w:rPr>
                <w:rFonts w:cs="Calibri"/>
                <w:b/>
                <w:bCs/>
                <w:sz w:val="22"/>
                <w:szCs w:val="22"/>
              </w:rPr>
              <w:lastRenderedPageBreak/>
              <w:t xml:space="preserve">Team Utilisation: </w:t>
            </w:r>
          </w:p>
          <w:p w14:paraId="40410F4C" w14:textId="77777777" w:rsidR="00BF2644" w:rsidRPr="00307B1B" w:rsidRDefault="00BF2644" w:rsidP="002C6B49">
            <w:pPr>
              <w:spacing w:after="0" w:line="240" w:lineRule="auto"/>
              <w:rPr>
                <w:rFonts w:cs="Calibri"/>
                <w:sz w:val="22"/>
                <w:szCs w:val="22"/>
              </w:rPr>
            </w:pPr>
            <w:r w:rsidRPr="00307B1B">
              <w:rPr>
                <w:rFonts w:cs="Calibri"/>
                <w:sz w:val="22"/>
                <w:szCs w:val="22"/>
              </w:rPr>
              <w:t xml:space="preserve">Tenderers must include a detailed overview of their project team and their skillsets; how the team will be deployed, </w:t>
            </w:r>
            <w:r w:rsidRPr="00307B1B">
              <w:rPr>
                <w:sz w:val="22"/>
                <w:szCs w:val="22"/>
              </w:rPr>
              <w:t>ethics consideration, oversight, quality assurance, communications, contingency planning.</w:t>
            </w:r>
          </w:p>
          <w:p w14:paraId="1AF4A882" w14:textId="77777777" w:rsidR="00BF2644" w:rsidRDefault="00BF2644" w:rsidP="002C6B49">
            <w:pPr>
              <w:spacing w:after="0" w:line="240" w:lineRule="auto"/>
              <w:rPr>
                <w:rFonts w:cs="Calibri"/>
                <w:sz w:val="22"/>
                <w:szCs w:val="22"/>
              </w:rPr>
            </w:pPr>
          </w:p>
          <w:p w14:paraId="36F1569F" w14:textId="399964B3" w:rsidR="00BF2644" w:rsidRPr="00A67676" w:rsidRDefault="00BF2644" w:rsidP="002C6B49">
            <w:pPr>
              <w:spacing w:after="0" w:line="240" w:lineRule="auto"/>
              <w:rPr>
                <w:rFonts w:cs="Calibri"/>
                <w:color w:val="000000" w:themeColor="text1"/>
                <w:sz w:val="22"/>
                <w:szCs w:val="22"/>
              </w:rPr>
            </w:pPr>
            <w:r w:rsidRPr="00A67676">
              <w:rPr>
                <w:rFonts w:cs="Calibri"/>
                <w:color w:val="000000" w:themeColor="text1"/>
                <w:sz w:val="22"/>
                <w:szCs w:val="22"/>
              </w:rPr>
              <w:t>Tenderers must limit their total response</w:t>
            </w:r>
            <w:r>
              <w:rPr>
                <w:rFonts w:cs="Calibri"/>
                <w:color w:val="000000" w:themeColor="text1"/>
                <w:sz w:val="22"/>
                <w:szCs w:val="22"/>
              </w:rPr>
              <w:t xml:space="preserve"> </w:t>
            </w:r>
            <w:r w:rsidRPr="00A67676">
              <w:rPr>
                <w:rFonts w:cs="Calibri"/>
                <w:color w:val="000000" w:themeColor="text1"/>
                <w:sz w:val="22"/>
                <w:szCs w:val="22"/>
              </w:rPr>
              <w:t xml:space="preserve">to </w:t>
            </w:r>
            <w:r w:rsidRPr="00CE674E">
              <w:rPr>
                <w:rFonts w:cs="Calibri"/>
                <w:b/>
                <w:bCs/>
                <w:color w:val="000000" w:themeColor="text1"/>
                <w:sz w:val="22"/>
                <w:szCs w:val="22"/>
              </w:rPr>
              <w:t>ten (10)</w:t>
            </w:r>
            <w:r w:rsidRPr="00A67676">
              <w:rPr>
                <w:rFonts w:cs="Calibri"/>
                <w:color w:val="000000" w:themeColor="text1"/>
                <w:sz w:val="22"/>
                <w:szCs w:val="22"/>
              </w:rPr>
              <w:t xml:space="preserve"> </w:t>
            </w:r>
            <w:r>
              <w:rPr>
                <w:rFonts w:cs="Calibri"/>
                <w:color w:val="000000" w:themeColor="text1"/>
                <w:sz w:val="22"/>
                <w:szCs w:val="22"/>
              </w:rPr>
              <w:t xml:space="preserve">x </w:t>
            </w:r>
            <w:r w:rsidRPr="00A67676">
              <w:rPr>
                <w:rFonts w:cs="Calibri"/>
                <w:color w:val="000000" w:themeColor="text1"/>
                <w:sz w:val="22"/>
                <w:szCs w:val="22"/>
              </w:rPr>
              <w:t>A4 pages in length</w:t>
            </w:r>
            <w:r w:rsidR="00DD0820">
              <w:rPr>
                <w:rFonts w:cs="Calibri"/>
                <w:color w:val="000000" w:themeColor="text1"/>
                <w:sz w:val="22"/>
                <w:szCs w:val="22"/>
              </w:rPr>
              <w:t xml:space="preserve"> </w:t>
            </w:r>
            <w:r w:rsidR="00DD0820" w:rsidRPr="004B5457">
              <w:rPr>
                <w:rFonts w:asciiTheme="minorHAnsi" w:hAnsiTheme="minorHAnsi"/>
                <w:b/>
                <w:sz w:val="22"/>
                <w:szCs w:val="22"/>
              </w:rPr>
              <w:t>using Calibri Font Size 11</w:t>
            </w:r>
            <w:r w:rsidR="0035560A">
              <w:rPr>
                <w:rFonts w:asciiTheme="minorHAnsi" w:hAnsiTheme="minorHAnsi"/>
                <w:b/>
                <w:sz w:val="22"/>
                <w:szCs w:val="22"/>
              </w:rPr>
              <w:t xml:space="preserve"> text</w:t>
            </w:r>
            <w:r w:rsidRPr="00A67676">
              <w:rPr>
                <w:rFonts w:cs="Calibri"/>
                <w:color w:val="000000" w:themeColor="text1"/>
                <w:sz w:val="22"/>
                <w:szCs w:val="22"/>
              </w:rPr>
              <w:t>.</w:t>
            </w:r>
          </w:p>
          <w:p w14:paraId="1BD75D6B" w14:textId="03901782" w:rsidR="00051EB3" w:rsidRPr="00051EB3" w:rsidRDefault="00051EB3" w:rsidP="002C6B49">
            <w:pPr>
              <w:spacing w:after="0" w:line="240" w:lineRule="auto"/>
              <w:rPr>
                <w:sz w:val="22"/>
                <w:szCs w:val="22"/>
              </w:rPr>
            </w:pPr>
            <w:r w:rsidRPr="00051EB3">
              <w:rPr>
                <w:sz w:val="22"/>
                <w:szCs w:val="22"/>
              </w:rPr>
              <w:t xml:space="preserve">This does not include the CV’s requested in Selection Criteria 3.2B </w:t>
            </w:r>
            <w:proofErr w:type="spellStart"/>
            <w:r w:rsidRPr="00051EB3">
              <w:rPr>
                <w:sz w:val="22"/>
                <w:szCs w:val="22"/>
              </w:rPr>
              <w:t>i</w:t>
            </w:r>
            <w:proofErr w:type="spellEnd"/>
            <w:r w:rsidRPr="00051EB3">
              <w:rPr>
                <w:sz w:val="22"/>
                <w:szCs w:val="22"/>
              </w:rPr>
              <w:t>)</w:t>
            </w:r>
          </w:p>
          <w:p w14:paraId="6394F1F8" w14:textId="77777777" w:rsidR="00BF2644" w:rsidRPr="00077A8E" w:rsidRDefault="00BF2644" w:rsidP="002C6B49">
            <w:pPr>
              <w:spacing w:after="0" w:line="240" w:lineRule="auto"/>
              <w:rPr>
                <w:rFonts w:cs="Calibri"/>
                <w:sz w:val="22"/>
                <w:szCs w:val="22"/>
              </w:rPr>
            </w:pPr>
          </w:p>
        </w:tc>
        <w:tc>
          <w:tcPr>
            <w:tcW w:w="1418" w:type="dxa"/>
          </w:tcPr>
          <w:p w14:paraId="6413999F" w14:textId="77777777" w:rsidR="00BF2644" w:rsidRDefault="00BF2644" w:rsidP="002C6B49">
            <w:pPr>
              <w:spacing w:after="0" w:line="240" w:lineRule="auto"/>
              <w:rPr>
                <w:rFonts w:cs="Calibri"/>
                <w:b/>
                <w:bCs/>
                <w:sz w:val="22"/>
                <w:szCs w:val="22"/>
              </w:rPr>
            </w:pPr>
          </w:p>
          <w:p w14:paraId="5EF9637E" w14:textId="77777777" w:rsidR="00BF2644" w:rsidRDefault="00BF2644" w:rsidP="002C6B49">
            <w:pPr>
              <w:spacing w:after="0" w:line="240" w:lineRule="auto"/>
              <w:rPr>
                <w:rFonts w:cs="Calibri"/>
                <w:b/>
                <w:bCs/>
                <w:sz w:val="22"/>
                <w:szCs w:val="22"/>
              </w:rPr>
            </w:pPr>
          </w:p>
          <w:p w14:paraId="206AC6D8" w14:textId="77777777" w:rsidR="00BF2644" w:rsidRDefault="00BF2644" w:rsidP="002C6B49">
            <w:pPr>
              <w:spacing w:after="0" w:line="240" w:lineRule="auto"/>
              <w:rPr>
                <w:rFonts w:cs="Calibri"/>
                <w:b/>
                <w:bCs/>
                <w:sz w:val="22"/>
                <w:szCs w:val="22"/>
              </w:rPr>
            </w:pPr>
          </w:p>
          <w:p w14:paraId="3B5B1FCA" w14:textId="77777777" w:rsidR="00BF2644" w:rsidRPr="00077A8E" w:rsidRDefault="00BF2644" w:rsidP="002C6B49">
            <w:pPr>
              <w:spacing w:after="0" w:line="240" w:lineRule="auto"/>
              <w:rPr>
                <w:rFonts w:cs="Calibri"/>
                <w:b/>
                <w:bCs/>
                <w:sz w:val="22"/>
                <w:szCs w:val="22"/>
              </w:rPr>
            </w:pPr>
            <w:r>
              <w:rPr>
                <w:rFonts w:cs="Calibri"/>
                <w:b/>
                <w:bCs/>
                <w:sz w:val="22"/>
                <w:szCs w:val="22"/>
              </w:rPr>
              <w:t xml:space="preserve">        400</w:t>
            </w:r>
          </w:p>
        </w:tc>
        <w:tc>
          <w:tcPr>
            <w:tcW w:w="1366" w:type="dxa"/>
          </w:tcPr>
          <w:p w14:paraId="31DF61A0" w14:textId="77777777" w:rsidR="00BF2644" w:rsidRDefault="00BF2644" w:rsidP="002C6B49">
            <w:pPr>
              <w:spacing w:after="0" w:line="240" w:lineRule="auto"/>
              <w:jc w:val="center"/>
              <w:rPr>
                <w:rFonts w:cs="Calibri"/>
                <w:b/>
                <w:bCs/>
                <w:sz w:val="22"/>
                <w:szCs w:val="22"/>
              </w:rPr>
            </w:pPr>
          </w:p>
          <w:p w14:paraId="61B0F769" w14:textId="77777777" w:rsidR="00BF2644" w:rsidRDefault="00BF2644" w:rsidP="002C6B49">
            <w:pPr>
              <w:spacing w:after="0" w:line="240" w:lineRule="auto"/>
              <w:jc w:val="center"/>
              <w:rPr>
                <w:rFonts w:cs="Calibri"/>
                <w:b/>
                <w:bCs/>
                <w:sz w:val="22"/>
                <w:szCs w:val="22"/>
              </w:rPr>
            </w:pPr>
          </w:p>
          <w:p w14:paraId="5D107180" w14:textId="77777777" w:rsidR="00BF2644" w:rsidRDefault="00BF2644" w:rsidP="002C6B49">
            <w:pPr>
              <w:spacing w:after="0" w:line="240" w:lineRule="auto"/>
              <w:jc w:val="center"/>
              <w:rPr>
                <w:rFonts w:cs="Calibri"/>
                <w:b/>
                <w:bCs/>
                <w:sz w:val="22"/>
                <w:szCs w:val="22"/>
              </w:rPr>
            </w:pPr>
          </w:p>
          <w:p w14:paraId="5ADF2D17" w14:textId="77777777" w:rsidR="00BF2644" w:rsidRPr="00077A8E" w:rsidRDefault="00BF2644" w:rsidP="002C6B49">
            <w:pPr>
              <w:spacing w:after="0" w:line="240" w:lineRule="auto"/>
              <w:rPr>
                <w:rFonts w:cs="Calibri"/>
                <w:b/>
                <w:bCs/>
                <w:sz w:val="22"/>
                <w:szCs w:val="22"/>
              </w:rPr>
            </w:pPr>
            <w:r>
              <w:rPr>
                <w:rFonts w:cs="Calibri"/>
                <w:b/>
                <w:bCs/>
                <w:sz w:val="22"/>
                <w:szCs w:val="22"/>
              </w:rPr>
              <w:t xml:space="preserve">     240</w:t>
            </w:r>
          </w:p>
        </w:tc>
      </w:tr>
      <w:tr w:rsidR="00BF2644" w:rsidRPr="00077A8E" w14:paraId="1FD7BEB5" w14:textId="77777777" w:rsidTr="00BB27C5">
        <w:tc>
          <w:tcPr>
            <w:tcW w:w="846" w:type="dxa"/>
          </w:tcPr>
          <w:p w14:paraId="0DD7A887" w14:textId="77777777" w:rsidR="00BF2644" w:rsidRPr="00204490" w:rsidRDefault="00BF2644" w:rsidP="002C6B49">
            <w:pPr>
              <w:spacing w:after="0" w:line="240" w:lineRule="auto"/>
              <w:jc w:val="center"/>
              <w:rPr>
                <w:rFonts w:cs="Calibri"/>
                <w:b/>
                <w:bCs/>
                <w:sz w:val="22"/>
                <w:szCs w:val="22"/>
              </w:rPr>
            </w:pPr>
            <w:r w:rsidRPr="00204490">
              <w:rPr>
                <w:rFonts w:cs="Calibri"/>
                <w:b/>
                <w:bCs/>
                <w:sz w:val="22"/>
                <w:szCs w:val="22"/>
              </w:rPr>
              <w:lastRenderedPageBreak/>
              <w:t>3.</w:t>
            </w:r>
          </w:p>
        </w:tc>
        <w:tc>
          <w:tcPr>
            <w:tcW w:w="5386" w:type="dxa"/>
          </w:tcPr>
          <w:p w14:paraId="2568EE94" w14:textId="77777777" w:rsidR="00BF2644" w:rsidRPr="00077A8E" w:rsidRDefault="00BF2644" w:rsidP="002C6B49">
            <w:pPr>
              <w:spacing w:after="0" w:line="240" w:lineRule="auto"/>
              <w:rPr>
                <w:rFonts w:cs="Calibri"/>
                <w:sz w:val="22"/>
                <w:szCs w:val="22"/>
              </w:rPr>
            </w:pPr>
            <w:r w:rsidRPr="00077A8E">
              <w:rPr>
                <w:rFonts w:cs="Calibri"/>
                <w:b/>
                <w:bCs/>
                <w:sz w:val="22"/>
                <w:szCs w:val="22"/>
              </w:rPr>
              <w:t xml:space="preserve">Cost </w:t>
            </w:r>
          </w:p>
        </w:tc>
        <w:tc>
          <w:tcPr>
            <w:tcW w:w="1418" w:type="dxa"/>
          </w:tcPr>
          <w:p w14:paraId="2F8EE64F" w14:textId="77777777" w:rsidR="00BF2644" w:rsidRDefault="00BF2644" w:rsidP="002C6B49">
            <w:pPr>
              <w:spacing w:after="0" w:line="240" w:lineRule="auto"/>
              <w:jc w:val="center"/>
              <w:rPr>
                <w:rFonts w:cs="Calibri"/>
                <w:b/>
                <w:bCs/>
                <w:sz w:val="22"/>
                <w:szCs w:val="22"/>
              </w:rPr>
            </w:pPr>
            <w:r>
              <w:rPr>
                <w:rFonts w:cs="Calibri"/>
                <w:b/>
                <w:bCs/>
                <w:sz w:val="22"/>
                <w:szCs w:val="22"/>
              </w:rPr>
              <w:t>200</w:t>
            </w:r>
          </w:p>
          <w:p w14:paraId="45956BB2" w14:textId="77777777" w:rsidR="006D46F7" w:rsidRPr="00077A8E" w:rsidRDefault="006D46F7" w:rsidP="002C6B49">
            <w:pPr>
              <w:spacing w:after="0" w:line="240" w:lineRule="auto"/>
              <w:jc w:val="center"/>
              <w:rPr>
                <w:rFonts w:cs="Calibri"/>
                <w:b/>
                <w:bCs/>
                <w:sz w:val="22"/>
                <w:szCs w:val="22"/>
              </w:rPr>
            </w:pPr>
          </w:p>
        </w:tc>
        <w:tc>
          <w:tcPr>
            <w:tcW w:w="1366" w:type="dxa"/>
          </w:tcPr>
          <w:p w14:paraId="105173E4" w14:textId="77777777" w:rsidR="00BF2644" w:rsidRPr="00077A8E" w:rsidRDefault="00BF2644" w:rsidP="002C6B49">
            <w:pPr>
              <w:spacing w:after="0" w:line="240" w:lineRule="auto"/>
              <w:jc w:val="center"/>
              <w:rPr>
                <w:rFonts w:cs="Calibri"/>
                <w:b/>
                <w:bCs/>
                <w:sz w:val="22"/>
                <w:szCs w:val="22"/>
              </w:rPr>
            </w:pPr>
            <w:r w:rsidRPr="00077A8E">
              <w:rPr>
                <w:rFonts w:cs="Calibri"/>
                <w:b/>
                <w:bCs/>
                <w:sz w:val="22"/>
                <w:szCs w:val="22"/>
              </w:rPr>
              <w:t>N/A</w:t>
            </w:r>
          </w:p>
        </w:tc>
      </w:tr>
      <w:tr w:rsidR="00BF2644" w:rsidRPr="00077A8E" w14:paraId="3DD6BF5F" w14:textId="77777777" w:rsidTr="00BB27C5">
        <w:tc>
          <w:tcPr>
            <w:tcW w:w="846" w:type="dxa"/>
          </w:tcPr>
          <w:p w14:paraId="32BBE72B" w14:textId="77777777" w:rsidR="00BF2644" w:rsidRPr="00077A8E" w:rsidRDefault="00BF2644" w:rsidP="002C6B49">
            <w:pPr>
              <w:spacing w:after="0" w:line="240" w:lineRule="auto"/>
              <w:jc w:val="center"/>
              <w:rPr>
                <w:rFonts w:cs="Calibri"/>
                <w:sz w:val="22"/>
                <w:szCs w:val="22"/>
              </w:rPr>
            </w:pPr>
          </w:p>
        </w:tc>
        <w:tc>
          <w:tcPr>
            <w:tcW w:w="5386" w:type="dxa"/>
          </w:tcPr>
          <w:p w14:paraId="6DA0260C" w14:textId="77777777" w:rsidR="00BF2644" w:rsidRPr="00077A8E" w:rsidRDefault="00BF2644" w:rsidP="00BB27C5">
            <w:pPr>
              <w:rPr>
                <w:rFonts w:cs="Calibri"/>
                <w:sz w:val="22"/>
                <w:szCs w:val="22"/>
              </w:rPr>
            </w:pPr>
          </w:p>
        </w:tc>
        <w:tc>
          <w:tcPr>
            <w:tcW w:w="1418" w:type="dxa"/>
          </w:tcPr>
          <w:p w14:paraId="33E09ADD" w14:textId="14B8977C" w:rsidR="00BF2644" w:rsidRPr="009615D6" w:rsidRDefault="009615D6" w:rsidP="006D46F7">
            <w:pPr>
              <w:spacing w:after="0" w:line="240" w:lineRule="auto"/>
              <w:jc w:val="center"/>
              <w:rPr>
                <w:rFonts w:cs="Calibri"/>
                <w:b/>
                <w:bCs/>
                <w:sz w:val="22"/>
                <w:szCs w:val="22"/>
              </w:rPr>
            </w:pPr>
            <w:r w:rsidRPr="009615D6">
              <w:rPr>
                <w:rFonts w:cs="Calibri"/>
                <w:b/>
                <w:bCs/>
                <w:sz w:val="22"/>
                <w:szCs w:val="22"/>
              </w:rPr>
              <w:t>1000</w:t>
            </w:r>
          </w:p>
        </w:tc>
        <w:tc>
          <w:tcPr>
            <w:tcW w:w="1366" w:type="dxa"/>
          </w:tcPr>
          <w:p w14:paraId="4AA1D78B" w14:textId="77777777" w:rsidR="00BF2644" w:rsidRPr="00077A8E" w:rsidRDefault="00BF2644" w:rsidP="00BB27C5">
            <w:pPr>
              <w:jc w:val="center"/>
              <w:rPr>
                <w:rFonts w:cs="Calibri"/>
                <w:sz w:val="22"/>
                <w:szCs w:val="22"/>
              </w:rPr>
            </w:pPr>
          </w:p>
        </w:tc>
      </w:tr>
    </w:tbl>
    <w:p w14:paraId="72786B1D" w14:textId="77777777" w:rsidR="00BF2644" w:rsidRPr="00077A8E" w:rsidRDefault="00BF2644" w:rsidP="00BF2644">
      <w:pPr>
        <w:rPr>
          <w:rFonts w:cs="Calibri"/>
          <w:szCs w:val="22"/>
        </w:rPr>
      </w:pPr>
    </w:p>
    <w:p w14:paraId="4D065F41" w14:textId="77777777" w:rsidR="00077A8E" w:rsidRPr="00077A8E" w:rsidRDefault="00077A8E" w:rsidP="006C4C7F">
      <w:pPr>
        <w:spacing w:after="0" w:line="240" w:lineRule="auto"/>
        <w:rPr>
          <w:rFonts w:cs="Calibri"/>
          <w:szCs w:val="22"/>
        </w:rPr>
      </w:pPr>
      <w:r w:rsidRPr="00077A8E">
        <w:rPr>
          <w:rFonts w:cs="Calibri"/>
          <w:szCs w:val="22"/>
        </w:rPr>
        <w:t xml:space="preserve">Tenderers should note that they must score the minimum marks as set out in the table above. Failure to achieve the minimum marks (where applicable) in any or all of these qualitative criteria will result in the Tender being eliminated from the competition. </w:t>
      </w:r>
    </w:p>
    <w:p w14:paraId="4A3B4972" w14:textId="77777777" w:rsidR="006C4C7F" w:rsidRDefault="006C4C7F" w:rsidP="006C4C7F">
      <w:pPr>
        <w:spacing w:after="0" w:line="240" w:lineRule="auto"/>
        <w:rPr>
          <w:rFonts w:cs="Calibri"/>
          <w:szCs w:val="22"/>
        </w:rPr>
      </w:pPr>
    </w:p>
    <w:p w14:paraId="088122D9" w14:textId="06A6DB64" w:rsidR="00077A8E" w:rsidRPr="00077A8E" w:rsidRDefault="00077A8E" w:rsidP="006C4C7F">
      <w:pPr>
        <w:spacing w:after="0" w:line="240" w:lineRule="auto"/>
        <w:rPr>
          <w:rFonts w:cs="Calibri"/>
          <w:szCs w:val="22"/>
        </w:rPr>
      </w:pPr>
      <w:r w:rsidRPr="00077A8E">
        <w:rPr>
          <w:rFonts w:cs="Calibri"/>
          <w:szCs w:val="22"/>
        </w:rPr>
        <w:t>Tenderers should note their proposals will be evaluated on the basis of relevant information demonstrating how and why these proposals meet study requirements.</w:t>
      </w:r>
    </w:p>
    <w:p w14:paraId="5D229754" w14:textId="77777777" w:rsidR="00077A8E" w:rsidRPr="00077A8E" w:rsidRDefault="00077A8E" w:rsidP="00077A8E">
      <w:pPr>
        <w:rPr>
          <w:rFonts w:cs="Calibri"/>
          <w:b/>
          <w:bCs/>
          <w:szCs w:val="22"/>
        </w:rPr>
      </w:pPr>
    </w:p>
    <w:p w14:paraId="131449B6" w14:textId="77777777" w:rsidR="00077A8E" w:rsidRPr="00077A8E" w:rsidRDefault="00077A8E" w:rsidP="00077A8E">
      <w:pPr>
        <w:spacing w:after="0" w:line="240" w:lineRule="auto"/>
        <w:rPr>
          <w:rFonts w:cs="Calibri"/>
          <w:b/>
          <w:bCs/>
          <w:szCs w:val="22"/>
          <w:u w:val="single"/>
        </w:rPr>
      </w:pPr>
      <w:r w:rsidRPr="00077A8E">
        <w:rPr>
          <w:rFonts w:cs="Calibri"/>
          <w:b/>
          <w:bCs/>
          <w:szCs w:val="22"/>
          <w:u w:val="single"/>
        </w:rPr>
        <w:t>Award Criteria: Cost</w:t>
      </w:r>
    </w:p>
    <w:p w14:paraId="0C5C7694" w14:textId="77777777" w:rsidR="00077A8E" w:rsidRDefault="00077A8E" w:rsidP="00077A8E">
      <w:pPr>
        <w:autoSpaceDE w:val="0"/>
        <w:autoSpaceDN w:val="0"/>
        <w:adjustRightInd w:val="0"/>
        <w:spacing w:after="0" w:line="240" w:lineRule="auto"/>
        <w:jc w:val="both"/>
        <w:rPr>
          <w:rFonts w:cs="Calibri"/>
          <w:color w:val="000000" w:themeColor="text1"/>
          <w:szCs w:val="22"/>
        </w:rPr>
      </w:pPr>
      <w:r w:rsidRPr="00077A8E">
        <w:rPr>
          <w:rFonts w:cs="Calibri"/>
          <w:color w:val="000000" w:themeColor="text1"/>
          <w:szCs w:val="22"/>
        </w:rPr>
        <w:t>For the purpose of this Competition, Tenderers are required to provide costs based on the Schedule in Appendix 2.</w:t>
      </w:r>
      <w:r w:rsidRPr="00077A8E">
        <w:rPr>
          <w:rFonts w:cs="Calibri"/>
          <w:b/>
          <w:bCs/>
          <w:color w:val="000000" w:themeColor="text1"/>
          <w:szCs w:val="22"/>
        </w:rPr>
        <w:t xml:space="preserve"> </w:t>
      </w:r>
      <w:r w:rsidRPr="00077A8E">
        <w:rPr>
          <w:rFonts w:cs="Calibri"/>
          <w:color w:val="000000" w:themeColor="text1"/>
          <w:szCs w:val="22"/>
        </w:rPr>
        <w:t>The costs that will be evaluated are the total costs.</w:t>
      </w:r>
    </w:p>
    <w:p w14:paraId="70C05E82" w14:textId="77777777" w:rsidR="00077A8E" w:rsidRPr="00077A8E" w:rsidRDefault="00077A8E" w:rsidP="00077A8E">
      <w:pPr>
        <w:autoSpaceDE w:val="0"/>
        <w:autoSpaceDN w:val="0"/>
        <w:adjustRightInd w:val="0"/>
        <w:spacing w:after="0" w:line="240" w:lineRule="auto"/>
        <w:jc w:val="both"/>
        <w:rPr>
          <w:rFonts w:cs="Calibri"/>
          <w:color w:val="000000"/>
          <w:szCs w:val="22"/>
        </w:rPr>
      </w:pPr>
    </w:p>
    <w:p w14:paraId="523DCCBA" w14:textId="46736181" w:rsidR="00077A8E" w:rsidRPr="00077A8E" w:rsidRDefault="00077A8E" w:rsidP="00077A8E">
      <w:pPr>
        <w:autoSpaceDE w:val="0"/>
        <w:autoSpaceDN w:val="0"/>
        <w:adjustRightInd w:val="0"/>
        <w:spacing w:after="0" w:line="240" w:lineRule="auto"/>
        <w:rPr>
          <w:rFonts w:cs="Calibri"/>
          <w:color w:val="000000"/>
          <w:szCs w:val="22"/>
        </w:rPr>
      </w:pPr>
      <w:r w:rsidRPr="00077A8E">
        <w:rPr>
          <w:rFonts w:cs="Calibri"/>
          <w:color w:val="000000"/>
          <w:szCs w:val="22"/>
        </w:rPr>
        <w:t xml:space="preserve">There is a total of </w:t>
      </w:r>
      <w:r w:rsidR="00307B1B">
        <w:rPr>
          <w:rFonts w:cs="Calibri"/>
          <w:color w:val="000000" w:themeColor="text1"/>
          <w:szCs w:val="22"/>
        </w:rPr>
        <w:t>200</w:t>
      </w:r>
      <w:r w:rsidRPr="00077A8E">
        <w:rPr>
          <w:rFonts w:cs="Calibri"/>
          <w:color w:val="000000" w:themeColor="text1"/>
          <w:szCs w:val="22"/>
        </w:rPr>
        <w:t xml:space="preserve"> marks </w:t>
      </w:r>
      <w:r w:rsidRPr="00077A8E">
        <w:rPr>
          <w:rFonts w:cs="Calibri"/>
          <w:color w:val="000000"/>
          <w:szCs w:val="22"/>
        </w:rPr>
        <w:t xml:space="preserve">allocated to the overall cost criterion, which equates </w:t>
      </w:r>
      <w:r w:rsidRPr="00077A8E">
        <w:rPr>
          <w:rFonts w:cs="Calibri"/>
          <w:color w:val="000000" w:themeColor="text1"/>
          <w:szCs w:val="22"/>
        </w:rPr>
        <w:t xml:space="preserve">to 20% </w:t>
      </w:r>
      <w:r w:rsidRPr="00077A8E">
        <w:rPr>
          <w:rFonts w:cs="Calibri"/>
          <w:color w:val="000000"/>
          <w:szCs w:val="22"/>
        </w:rPr>
        <w:t xml:space="preserve">of the overall marks available. </w:t>
      </w:r>
    </w:p>
    <w:p w14:paraId="27E3E7EB" w14:textId="77777777" w:rsidR="00077A8E" w:rsidRPr="00077A8E" w:rsidRDefault="00077A8E" w:rsidP="00077A8E">
      <w:pPr>
        <w:autoSpaceDE w:val="0"/>
        <w:autoSpaceDN w:val="0"/>
        <w:adjustRightInd w:val="0"/>
        <w:spacing w:after="0" w:line="240" w:lineRule="auto"/>
        <w:rPr>
          <w:rFonts w:cs="Calibri"/>
          <w:color w:val="000000"/>
          <w:szCs w:val="22"/>
        </w:rPr>
      </w:pPr>
    </w:p>
    <w:p w14:paraId="6D44EEDF" w14:textId="65555606" w:rsidR="00077A8E" w:rsidRPr="00077A8E" w:rsidRDefault="00077A8E" w:rsidP="00077A8E">
      <w:pPr>
        <w:autoSpaceDE w:val="0"/>
        <w:autoSpaceDN w:val="0"/>
        <w:adjustRightInd w:val="0"/>
        <w:spacing w:after="0" w:line="240" w:lineRule="auto"/>
        <w:rPr>
          <w:rFonts w:cs="Calibri"/>
          <w:color w:val="000000"/>
          <w:szCs w:val="22"/>
        </w:rPr>
      </w:pPr>
      <w:r w:rsidRPr="00077A8E">
        <w:rPr>
          <w:rFonts w:cs="Calibri"/>
          <w:color w:val="000000"/>
          <w:szCs w:val="22"/>
        </w:rPr>
        <w:t xml:space="preserve">The Tender that proposes the lowest Total Cost will receive 100% of the maximum marks available (i.e. </w:t>
      </w:r>
      <w:r w:rsidR="00307B1B">
        <w:rPr>
          <w:rFonts w:cs="Calibri"/>
          <w:color w:val="000000" w:themeColor="text1"/>
          <w:szCs w:val="22"/>
        </w:rPr>
        <w:t xml:space="preserve">200 </w:t>
      </w:r>
      <w:r w:rsidRPr="00077A8E">
        <w:rPr>
          <w:rFonts w:cs="Calibri"/>
          <w:color w:val="000000" w:themeColor="text1"/>
          <w:szCs w:val="22"/>
        </w:rPr>
        <w:t>marks</w:t>
      </w:r>
      <w:r w:rsidRPr="00077A8E">
        <w:rPr>
          <w:rFonts w:cs="Calibri"/>
          <w:color w:val="000000"/>
          <w:szCs w:val="22"/>
        </w:rPr>
        <w:t>). All other tenders will be scored using the following formula:</w:t>
      </w:r>
    </w:p>
    <w:p w14:paraId="088CCC50" w14:textId="77777777" w:rsidR="00077A8E" w:rsidRPr="00077A8E" w:rsidRDefault="00077A8E" w:rsidP="00077A8E">
      <w:pPr>
        <w:autoSpaceDE w:val="0"/>
        <w:autoSpaceDN w:val="0"/>
        <w:adjustRightInd w:val="0"/>
        <w:spacing w:after="0" w:line="240" w:lineRule="auto"/>
        <w:rPr>
          <w:rFonts w:cs="Calibri"/>
          <w:color w:val="000000"/>
          <w:szCs w:val="22"/>
        </w:rPr>
      </w:pPr>
    </w:p>
    <w:p w14:paraId="1C86D0BD" w14:textId="77777777" w:rsidR="00077A8E" w:rsidRPr="00077A8E" w:rsidRDefault="00077A8E" w:rsidP="00077A8E">
      <w:pPr>
        <w:spacing w:after="0" w:line="240" w:lineRule="auto"/>
        <w:rPr>
          <w:rFonts w:cs="Calibri"/>
          <w:szCs w:val="22"/>
        </w:rPr>
      </w:pPr>
      <w:r w:rsidRPr="00077A8E">
        <w:rPr>
          <w:rFonts w:cs="Calibri"/>
          <w:bCs/>
          <w:szCs w:val="22"/>
        </w:rPr>
        <w:t>Cost</w:t>
      </w:r>
      <w:r w:rsidRPr="00077A8E">
        <w:rPr>
          <w:rFonts w:cs="Calibri"/>
          <w:b/>
          <w:szCs w:val="22"/>
        </w:rPr>
        <w:tab/>
        <w:t>=</w:t>
      </w:r>
      <w:r w:rsidRPr="00077A8E">
        <w:rPr>
          <w:rFonts w:cs="Calibri"/>
          <w:b/>
          <w:szCs w:val="22"/>
        </w:rPr>
        <w:tab/>
      </w:r>
      <w:r w:rsidRPr="00077A8E">
        <w:rPr>
          <w:rFonts w:cs="Calibri"/>
          <w:szCs w:val="22"/>
          <w:u w:val="single" w:color="000000"/>
        </w:rPr>
        <w:t xml:space="preserve">Lowest Overall Cost                   </w:t>
      </w:r>
      <w:r w:rsidRPr="00077A8E">
        <w:rPr>
          <w:rFonts w:cs="Calibri"/>
          <w:szCs w:val="22"/>
        </w:rPr>
        <w:tab/>
      </w:r>
      <w:r w:rsidRPr="00077A8E">
        <w:rPr>
          <w:rFonts w:cs="Calibri"/>
          <w:szCs w:val="22"/>
        </w:rPr>
        <w:tab/>
        <w:t>x Maximum Marks Available</w:t>
      </w:r>
    </w:p>
    <w:p w14:paraId="7B02948F" w14:textId="2517E645" w:rsidR="00077A8E" w:rsidRDefault="00077A8E" w:rsidP="00077A8E">
      <w:pPr>
        <w:spacing w:after="0" w:line="240" w:lineRule="auto"/>
        <w:rPr>
          <w:rFonts w:cs="Calibri"/>
          <w:b/>
          <w:szCs w:val="22"/>
        </w:rPr>
      </w:pPr>
      <w:r w:rsidRPr="00077A8E">
        <w:rPr>
          <w:rFonts w:cs="Calibri"/>
          <w:szCs w:val="22"/>
        </w:rPr>
        <w:t>Score</w:t>
      </w:r>
      <w:r w:rsidRPr="00077A8E">
        <w:rPr>
          <w:rFonts w:cs="Calibri"/>
          <w:szCs w:val="22"/>
        </w:rPr>
        <w:tab/>
      </w:r>
      <w:r w:rsidRPr="00077A8E">
        <w:rPr>
          <w:rFonts w:cs="Calibri"/>
          <w:szCs w:val="22"/>
        </w:rPr>
        <w:tab/>
        <w:t>Cost</w:t>
      </w:r>
      <w:r w:rsidRPr="00077A8E">
        <w:rPr>
          <w:rFonts w:cs="Calibri"/>
          <w:b/>
          <w:szCs w:val="22"/>
        </w:rPr>
        <w:t xml:space="preserve"> </w:t>
      </w:r>
    </w:p>
    <w:p w14:paraId="30B3243C" w14:textId="77777777" w:rsidR="00E037E1" w:rsidRDefault="00E037E1" w:rsidP="00077A8E">
      <w:pPr>
        <w:spacing w:after="0" w:line="240" w:lineRule="auto"/>
        <w:rPr>
          <w:rFonts w:cs="Calibri"/>
          <w:b/>
          <w:szCs w:val="22"/>
        </w:rPr>
      </w:pPr>
    </w:p>
    <w:p w14:paraId="54B4AFFD" w14:textId="77777777" w:rsidR="000F2FA9" w:rsidRDefault="000F2FA9" w:rsidP="00077A8E">
      <w:pPr>
        <w:widowControl w:val="0"/>
        <w:autoSpaceDE w:val="0"/>
        <w:autoSpaceDN w:val="0"/>
        <w:adjustRightInd w:val="0"/>
        <w:spacing w:after="0" w:line="240" w:lineRule="auto"/>
        <w:jc w:val="both"/>
        <w:rPr>
          <w:rFonts w:cs="Calibri"/>
          <w:b/>
          <w:bCs/>
          <w:szCs w:val="22"/>
          <w:u w:val="single"/>
        </w:rPr>
      </w:pPr>
    </w:p>
    <w:p w14:paraId="17EA9B00" w14:textId="32D04DD5" w:rsidR="00077A8E" w:rsidRPr="000F2FA9" w:rsidRDefault="00077A8E" w:rsidP="000F2FA9">
      <w:pPr>
        <w:widowControl w:val="0"/>
        <w:autoSpaceDE w:val="0"/>
        <w:autoSpaceDN w:val="0"/>
        <w:adjustRightInd w:val="0"/>
        <w:spacing w:after="0" w:line="240" w:lineRule="auto"/>
        <w:jc w:val="both"/>
        <w:rPr>
          <w:rFonts w:cs="Calibri"/>
          <w:b/>
          <w:bCs/>
          <w:color w:val="FFFFFF" w:themeColor="background1"/>
          <w:szCs w:val="22"/>
          <w:u w:val="single"/>
        </w:rPr>
      </w:pPr>
      <w:r w:rsidRPr="00077A8E">
        <w:rPr>
          <w:rFonts w:cs="Calibri"/>
          <w:b/>
          <w:bCs/>
          <w:szCs w:val="22"/>
          <w:u w:val="single"/>
        </w:rPr>
        <w:t>Weightings</w:t>
      </w:r>
    </w:p>
    <w:p w14:paraId="1B2C35CB" w14:textId="27B2F841" w:rsidR="00077A8E" w:rsidRDefault="00077A8E" w:rsidP="00077A8E">
      <w:pPr>
        <w:spacing w:after="0" w:line="240" w:lineRule="auto"/>
        <w:rPr>
          <w:rFonts w:cs="Calibri"/>
          <w:szCs w:val="22"/>
        </w:rPr>
      </w:pPr>
      <w:r w:rsidRPr="00077A8E">
        <w:rPr>
          <w:rFonts w:cs="Calibri"/>
          <w:szCs w:val="22"/>
        </w:rPr>
        <w:t>All tenders will be assessed and graded according to the Award Criteria. The following scoring matrix will be used:</w:t>
      </w:r>
    </w:p>
    <w:p w14:paraId="731606CC" w14:textId="77777777" w:rsidR="00077A8E" w:rsidRPr="00077A8E" w:rsidRDefault="00077A8E" w:rsidP="00077A8E">
      <w:pPr>
        <w:spacing w:after="0" w:line="240" w:lineRule="auto"/>
        <w:rPr>
          <w:rFonts w:cs="Calibri"/>
          <w:szCs w:val="22"/>
        </w:rPr>
      </w:pPr>
    </w:p>
    <w:tbl>
      <w:tblPr>
        <w:tblStyle w:val="TableGrid"/>
        <w:tblW w:w="9101" w:type="dxa"/>
        <w:tblLook w:val="04A0" w:firstRow="1" w:lastRow="0" w:firstColumn="1" w:lastColumn="0" w:noHBand="0" w:noVBand="1"/>
      </w:tblPr>
      <w:tblGrid>
        <w:gridCol w:w="1426"/>
        <w:gridCol w:w="7675"/>
      </w:tblGrid>
      <w:tr w:rsidR="00077A8E" w:rsidRPr="00077A8E" w14:paraId="7A4F52B4" w14:textId="77777777" w:rsidTr="00410CCE">
        <w:trPr>
          <w:trHeight w:val="313"/>
        </w:trPr>
        <w:tc>
          <w:tcPr>
            <w:tcW w:w="1426" w:type="dxa"/>
            <w:shd w:val="clear" w:color="auto" w:fill="006666"/>
          </w:tcPr>
          <w:p w14:paraId="0A185ECD"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Weighting</w:t>
            </w:r>
          </w:p>
        </w:tc>
        <w:tc>
          <w:tcPr>
            <w:tcW w:w="7675" w:type="dxa"/>
            <w:shd w:val="clear" w:color="auto" w:fill="006666"/>
          </w:tcPr>
          <w:p w14:paraId="63F99ED6"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Meaning</w:t>
            </w:r>
          </w:p>
        </w:tc>
      </w:tr>
      <w:tr w:rsidR="00077A8E" w:rsidRPr="00077A8E" w14:paraId="1CC0CE6D" w14:textId="77777777" w:rsidTr="00410CCE">
        <w:trPr>
          <w:trHeight w:val="951"/>
        </w:trPr>
        <w:tc>
          <w:tcPr>
            <w:tcW w:w="1426" w:type="dxa"/>
            <w:shd w:val="clear" w:color="auto" w:fill="006666"/>
          </w:tcPr>
          <w:p w14:paraId="5024B0DC"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91% - 100%</w:t>
            </w:r>
          </w:p>
        </w:tc>
        <w:tc>
          <w:tcPr>
            <w:tcW w:w="7675" w:type="dxa"/>
          </w:tcPr>
          <w:p w14:paraId="2AA1D04C" w14:textId="77777777" w:rsidR="00077A8E" w:rsidRPr="00077A8E" w:rsidRDefault="00077A8E" w:rsidP="00410CCE">
            <w:pPr>
              <w:rPr>
                <w:rFonts w:cs="Calibri"/>
                <w:sz w:val="22"/>
                <w:szCs w:val="22"/>
              </w:rPr>
            </w:pPr>
            <w:r w:rsidRPr="00077A8E">
              <w:rPr>
                <w:rFonts w:cs="Calibri"/>
                <w:sz w:val="22"/>
                <w:szCs w:val="22"/>
              </w:rPr>
              <w:t>Excellent response with very few or no weaknesses which exceeds requirements, and provides comprehensive, detailed, and convincing assurance that the Tenderer will deliver to an excellent standard.</w:t>
            </w:r>
          </w:p>
        </w:tc>
      </w:tr>
      <w:tr w:rsidR="00077A8E" w:rsidRPr="00077A8E" w14:paraId="6B1C297B" w14:textId="77777777" w:rsidTr="00410CCE">
        <w:trPr>
          <w:trHeight w:val="747"/>
        </w:trPr>
        <w:tc>
          <w:tcPr>
            <w:tcW w:w="1426" w:type="dxa"/>
            <w:shd w:val="clear" w:color="auto" w:fill="006666"/>
          </w:tcPr>
          <w:p w14:paraId="2BBBE4C5"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80% - 90%</w:t>
            </w:r>
          </w:p>
        </w:tc>
        <w:tc>
          <w:tcPr>
            <w:tcW w:w="7675" w:type="dxa"/>
          </w:tcPr>
          <w:p w14:paraId="624423BE" w14:textId="77777777" w:rsidR="00077A8E" w:rsidRPr="00077A8E" w:rsidRDefault="00077A8E" w:rsidP="00410CCE">
            <w:pPr>
              <w:rPr>
                <w:rFonts w:cs="Calibri"/>
                <w:sz w:val="22"/>
                <w:szCs w:val="22"/>
              </w:rPr>
            </w:pPr>
            <w:r w:rsidRPr="00077A8E">
              <w:rPr>
                <w:rFonts w:cs="Calibri"/>
                <w:sz w:val="22"/>
                <w:szCs w:val="22"/>
              </w:rPr>
              <w:t>A very good response that demonstrates real understanding and fully meets the requirements and assurance that the Tenderer will deliver to a high standard.</w:t>
            </w:r>
          </w:p>
        </w:tc>
      </w:tr>
      <w:tr w:rsidR="00077A8E" w:rsidRPr="00077A8E" w14:paraId="42614A7C" w14:textId="77777777" w:rsidTr="00410CCE">
        <w:trPr>
          <w:trHeight w:val="915"/>
        </w:trPr>
        <w:tc>
          <w:tcPr>
            <w:tcW w:w="1426" w:type="dxa"/>
            <w:shd w:val="clear" w:color="auto" w:fill="006666"/>
          </w:tcPr>
          <w:p w14:paraId="32703E62"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60% - 79%</w:t>
            </w:r>
          </w:p>
        </w:tc>
        <w:tc>
          <w:tcPr>
            <w:tcW w:w="7675" w:type="dxa"/>
          </w:tcPr>
          <w:p w14:paraId="17160242" w14:textId="77777777" w:rsidR="00077A8E" w:rsidRPr="00077A8E" w:rsidRDefault="00077A8E" w:rsidP="00410CCE">
            <w:pPr>
              <w:rPr>
                <w:rFonts w:cs="Calibri"/>
                <w:sz w:val="22"/>
                <w:szCs w:val="22"/>
              </w:rPr>
            </w:pPr>
            <w:r w:rsidRPr="00077A8E">
              <w:rPr>
                <w:rFonts w:cs="Calibri"/>
                <w:sz w:val="22"/>
                <w:szCs w:val="22"/>
              </w:rPr>
              <w:t>A satisfactory response which demonstrates a reasonable understanding of requirements and gives reasonable assurance of delivery to an adequate standard but does not provide sufficiently convincing assurance to award a higher mark.</w:t>
            </w:r>
          </w:p>
        </w:tc>
      </w:tr>
      <w:tr w:rsidR="00077A8E" w:rsidRPr="00077A8E" w14:paraId="09995003" w14:textId="77777777" w:rsidTr="00410CCE">
        <w:trPr>
          <w:trHeight w:val="626"/>
        </w:trPr>
        <w:tc>
          <w:tcPr>
            <w:tcW w:w="1426" w:type="dxa"/>
            <w:shd w:val="clear" w:color="auto" w:fill="006666"/>
          </w:tcPr>
          <w:p w14:paraId="29734CD7"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lastRenderedPageBreak/>
              <w:t>30% - 59%</w:t>
            </w:r>
          </w:p>
        </w:tc>
        <w:tc>
          <w:tcPr>
            <w:tcW w:w="7675" w:type="dxa"/>
          </w:tcPr>
          <w:p w14:paraId="4757AD1F" w14:textId="77777777" w:rsidR="00077A8E" w:rsidRPr="00077A8E" w:rsidRDefault="00077A8E" w:rsidP="00410CCE">
            <w:pPr>
              <w:rPr>
                <w:rFonts w:cs="Calibri"/>
                <w:sz w:val="22"/>
                <w:szCs w:val="22"/>
              </w:rPr>
            </w:pPr>
            <w:r w:rsidRPr="00077A8E">
              <w:rPr>
                <w:rFonts w:cs="Calibri"/>
                <w:sz w:val="22"/>
                <w:szCs w:val="22"/>
              </w:rPr>
              <w:t>A response where reservations exist. Lacks full credibility / convincing detail, and there is a significant risk that the response will not be successful.</w:t>
            </w:r>
          </w:p>
        </w:tc>
      </w:tr>
      <w:tr w:rsidR="00077A8E" w:rsidRPr="00077A8E" w14:paraId="443C6E36" w14:textId="77777777" w:rsidTr="00410CCE">
        <w:trPr>
          <w:trHeight w:val="858"/>
        </w:trPr>
        <w:tc>
          <w:tcPr>
            <w:tcW w:w="1426" w:type="dxa"/>
            <w:shd w:val="clear" w:color="auto" w:fill="006666"/>
          </w:tcPr>
          <w:p w14:paraId="599F3D15"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1% - 29%</w:t>
            </w:r>
          </w:p>
        </w:tc>
        <w:tc>
          <w:tcPr>
            <w:tcW w:w="7675" w:type="dxa"/>
          </w:tcPr>
          <w:p w14:paraId="4CF73F19" w14:textId="77777777" w:rsidR="00077A8E" w:rsidRPr="00077A8E" w:rsidRDefault="00077A8E" w:rsidP="00410CCE">
            <w:pPr>
              <w:rPr>
                <w:rFonts w:cs="Calibri"/>
                <w:sz w:val="22"/>
                <w:szCs w:val="22"/>
              </w:rPr>
            </w:pPr>
            <w:r w:rsidRPr="00077A8E">
              <w:rPr>
                <w:rFonts w:cs="Calibri"/>
                <w:sz w:val="22"/>
                <w:szCs w:val="22"/>
              </w:rPr>
              <w:t>A response where serious reservations exist. This may be because, for example, insufficient detail is provided, and the response has fundamental flaws, or is seriously inadequate or seriously lacks credibility with a high risk of non-delivery</w:t>
            </w:r>
          </w:p>
        </w:tc>
      </w:tr>
      <w:tr w:rsidR="00077A8E" w:rsidRPr="00077A8E" w14:paraId="4422B21A" w14:textId="77777777" w:rsidTr="00410CCE">
        <w:trPr>
          <w:trHeight w:val="313"/>
        </w:trPr>
        <w:tc>
          <w:tcPr>
            <w:tcW w:w="1426" w:type="dxa"/>
            <w:shd w:val="clear" w:color="auto" w:fill="006666"/>
          </w:tcPr>
          <w:p w14:paraId="5D5CD612" w14:textId="77777777" w:rsidR="00077A8E" w:rsidRPr="00077A8E" w:rsidRDefault="00077A8E" w:rsidP="00410CCE">
            <w:pPr>
              <w:rPr>
                <w:rFonts w:cs="Calibri"/>
                <w:b/>
                <w:bCs/>
                <w:color w:val="FFFFFF" w:themeColor="background1"/>
                <w:sz w:val="22"/>
                <w:szCs w:val="22"/>
              </w:rPr>
            </w:pPr>
            <w:r w:rsidRPr="00077A8E">
              <w:rPr>
                <w:rFonts w:cs="Calibri"/>
                <w:b/>
                <w:bCs/>
                <w:color w:val="FFFFFF" w:themeColor="background1"/>
                <w:sz w:val="22"/>
                <w:szCs w:val="22"/>
              </w:rPr>
              <w:t>0%</w:t>
            </w:r>
          </w:p>
        </w:tc>
        <w:tc>
          <w:tcPr>
            <w:tcW w:w="7675" w:type="dxa"/>
          </w:tcPr>
          <w:p w14:paraId="4D8D632E" w14:textId="77777777" w:rsidR="00077A8E" w:rsidRPr="00077A8E" w:rsidRDefault="00077A8E" w:rsidP="00410CCE">
            <w:pPr>
              <w:rPr>
                <w:rFonts w:cs="Calibri"/>
                <w:sz w:val="22"/>
                <w:szCs w:val="22"/>
              </w:rPr>
            </w:pPr>
            <w:r w:rsidRPr="00077A8E">
              <w:rPr>
                <w:rFonts w:cs="Calibri"/>
                <w:sz w:val="22"/>
                <w:szCs w:val="22"/>
              </w:rPr>
              <w:t>No Response.</w:t>
            </w:r>
          </w:p>
        </w:tc>
      </w:tr>
    </w:tbl>
    <w:p w14:paraId="72FD06DD" w14:textId="77777777" w:rsidR="00077A8E" w:rsidRDefault="00077A8E" w:rsidP="00564F8A"/>
    <w:p w14:paraId="0C26B973" w14:textId="77777777" w:rsidR="00077A8E" w:rsidRDefault="00077A8E" w:rsidP="00564F8A"/>
    <w:p w14:paraId="262C7748" w14:textId="77777777" w:rsidR="00077A8E" w:rsidRDefault="00077A8E" w:rsidP="00564F8A">
      <w:pPr>
        <w:sectPr w:rsidR="00077A8E"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 xml:space="preserve">Tenderers should note that the Contracting Authority may, when notifying Tenderers of the results of this Competition, include the scores obtained by the Tenderer concerned and </w:t>
            </w:r>
            <w:r w:rsidRPr="000E5DB7">
              <w:lastRenderedPageBreak/>
              <w:t>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2405FFAF"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D47D69">
              <w:t>seven</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howingPlcHdr/>
      </w:sdtPr>
      <w:sdtEndPr/>
      <w:sdtContent>
        <w:p w14:paraId="4C96D2B4" w14:textId="5D92C562" w:rsidR="00DB0D06" w:rsidRPr="00DB0D06" w:rsidRDefault="00F33D05" w:rsidP="00CC7906">
          <w:r w:rsidRPr="00DC0160">
            <w:rPr>
              <w:rStyle w:val="PlaceholderText"/>
            </w:rPr>
            <w:t>Click here to enter text.</w:t>
          </w:r>
        </w:p>
      </w:sdtContent>
    </w:sdt>
    <w:p w14:paraId="2E16E10B" w14:textId="77777777" w:rsidR="00791EF7" w:rsidRPr="00DB0D06" w:rsidRDefault="00791EF7" w:rsidP="00791EF7">
      <w:pPr>
        <w:rPr>
          <w:b/>
          <w:lang w:val="en-IE"/>
        </w:rPr>
      </w:pPr>
      <w:r w:rsidRPr="00DB0D06">
        <w:rPr>
          <w:b/>
          <w:lang w:val="en-IE"/>
        </w:rPr>
        <w:t>Purpose of the Study</w:t>
      </w:r>
    </w:p>
    <w:p w14:paraId="3EC4309F" w14:textId="06260264" w:rsidR="00791EF7" w:rsidRDefault="00791EF7" w:rsidP="00791EF7">
      <w:pPr>
        <w:rPr>
          <w:lang w:val="en-IE"/>
        </w:rPr>
      </w:pPr>
      <w:r>
        <w:rPr>
          <w:lang w:val="en-IE"/>
        </w:rPr>
        <w:t xml:space="preserve">In the work of the Department of Children, Disability and Equality (DCDE), a recurring gap has been identified in the capacity to support parents </w:t>
      </w:r>
      <w:r w:rsidR="004143B4">
        <w:rPr>
          <w:lang w:val="en-IE"/>
        </w:rPr>
        <w:t xml:space="preserve">or guardians </w:t>
      </w:r>
      <w:r>
        <w:rPr>
          <w:lang w:val="en-IE"/>
        </w:rPr>
        <w:t xml:space="preserve">of children with additional needs and the practitioners who assist them.  These gaps relate both to the availability of relevant parenting supports and practitioner training to respond to families with diverse and evolving needs.  </w:t>
      </w:r>
    </w:p>
    <w:p w14:paraId="078A247F" w14:textId="77777777" w:rsidR="00791EF7" w:rsidRDefault="00791EF7" w:rsidP="00791EF7">
      <w:pPr>
        <w:spacing w:after="160" w:line="278" w:lineRule="auto"/>
        <w:rPr>
          <w:lang w:val="en-IE"/>
        </w:rPr>
      </w:pPr>
      <w:r w:rsidRPr="00DB0D06">
        <w:rPr>
          <w:lang w:val="en-IE"/>
        </w:rPr>
        <w:t xml:space="preserve">The purpose of this </w:t>
      </w:r>
      <w:r w:rsidRPr="0010002A">
        <w:rPr>
          <w:lang w:val="en-IE"/>
        </w:rPr>
        <w:t>research</w:t>
      </w:r>
      <w:r>
        <w:rPr>
          <w:lang w:val="en-IE"/>
        </w:rPr>
        <w:t xml:space="preserve"> is to </w:t>
      </w:r>
    </w:p>
    <w:p w14:paraId="59A6E2B8" w14:textId="77777777" w:rsidR="00791EF7" w:rsidRPr="0043796C" w:rsidRDefault="00791EF7" w:rsidP="00791EF7">
      <w:pPr>
        <w:numPr>
          <w:ilvl w:val="0"/>
          <w:numId w:val="26"/>
        </w:numPr>
        <w:tabs>
          <w:tab w:val="num" w:pos="360"/>
        </w:tabs>
        <w:spacing w:after="160" w:line="278" w:lineRule="auto"/>
        <w:rPr>
          <w:szCs w:val="22"/>
        </w:rPr>
      </w:pPr>
      <w:r w:rsidRPr="0043796C">
        <w:rPr>
          <w:szCs w:val="22"/>
        </w:rPr>
        <w:t xml:space="preserve">Identify the most helpful </w:t>
      </w:r>
      <w:proofErr w:type="gramStart"/>
      <w:r>
        <w:rPr>
          <w:szCs w:val="22"/>
        </w:rPr>
        <w:t>non therapeutic</w:t>
      </w:r>
      <w:proofErr w:type="gramEnd"/>
      <w:r>
        <w:rPr>
          <w:szCs w:val="22"/>
        </w:rPr>
        <w:t xml:space="preserve"> </w:t>
      </w:r>
      <w:r w:rsidRPr="0043796C">
        <w:rPr>
          <w:szCs w:val="22"/>
        </w:rPr>
        <w:t>parenting supports for parents of children</w:t>
      </w:r>
      <w:r>
        <w:rPr>
          <w:szCs w:val="22"/>
        </w:rPr>
        <w:t>,</w:t>
      </w:r>
      <w:r w:rsidRPr="0043796C">
        <w:rPr>
          <w:szCs w:val="22"/>
        </w:rPr>
        <w:t xml:space="preserve"> up to 18 years</w:t>
      </w:r>
      <w:r>
        <w:rPr>
          <w:szCs w:val="22"/>
        </w:rPr>
        <w:t>,</w:t>
      </w:r>
      <w:r>
        <w:rPr>
          <w:rStyle w:val="FootnoteReference"/>
          <w:szCs w:val="22"/>
        </w:rPr>
        <w:footnoteReference w:id="2"/>
      </w:r>
      <w:r w:rsidRPr="0043796C">
        <w:rPr>
          <w:szCs w:val="22"/>
        </w:rPr>
        <w:t xml:space="preserve"> with additional needs</w:t>
      </w:r>
      <w:r>
        <w:rPr>
          <w:rStyle w:val="FootnoteReference"/>
          <w:szCs w:val="22"/>
        </w:rPr>
        <w:footnoteReference w:id="3"/>
      </w:r>
      <w:r w:rsidRPr="0043796C">
        <w:rPr>
          <w:szCs w:val="22"/>
        </w:rPr>
        <w:t xml:space="preserve"> throughout their journey</w:t>
      </w:r>
    </w:p>
    <w:p w14:paraId="72548ABA" w14:textId="77777777" w:rsidR="00791EF7" w:rsidRPr="0010002A" w:rsidRDefault="00791EF7" w:rsidP="00791EF7">
      <w:pPr>
        <w:numPr>
          <w:ilvl w:val="0"/>
          <w:numId w:val="26"/>
        </w:numPr>
        <w:tabs>
          <w:tab w:val="num" w:pos="360"/>
        </w:tabs>
        <w:spacing w:after="160" w:line="278" w:lineRule="auto"/>
        <w:rPr>
          <w:szCs w:val="22"/>
        </w:rPr>
      </w:pPr>
      <w:r w:rsidRPr="0043796C">
        <w:rPr>
          <w:szCs w:val="22"/>
        </w:rPr>
        <w:t>Identify training and supports that best equip practitioners to support parents of children with additional needs.</w:t>
      </w:r>
    </w:p>
    <w:p w14:paraId="305AF244" w14:textId="77777777" w:rsidR="00791EF7" w:rsidRPr="00DB0D06" w:rsidRDefault="00791EF7" w:rsidP="00791EF7">
      <w:pPr>
        <w:rPr>
          <w:b/>
          <w:lang w:val="en-IE"/>
        </w:rPr>
      </w:pPr>
      <w:r w:rsidRPr="00DB0D06">
        <w:rPr>
          <w:b/>
          <w:lang w:val="en-IE"/>
        </w:rPr>
        <w:t>1.1 Background</w:t>
      </w:r>
    </w:p>
    <w:p w14:paraId="2C0CD560" w14:textId="77777777" w:rsidR="00791EF7" w:rsidRPr="0010002A" w:rsidRDefault="00791EF7" w:rsidP="00791EF7">
      <w:pPr>
        <w:rPr>
          <w:lang w:val="en-IE"/>
        </w:rPr>
      </w:pPr>
      <w:r w:rsidRPr="0010002A">
        <w:rPr>
          <w:lang w:val="en-IE"/>
        </w:rPr>
        <w:t xml:space="preserve">Parents of children with additional needs can face a wide range of challenges related to their child’s learning, development, communication, behaviour or emotional wellbeing. These additional needs may also be referred to as </w:t>
      </w:r>
      <w:r w:rsidRPr="0010002A">
        <w:rPr>
          <w:i/>
          <w:iCs/>
          <w:lang w:val="en-IE"/>
        </w:rPr>
        <w:t>special education needs</w:t>
      </w:r>
      <w:r w:rsidRPr="0010002A">
        <w:rPr>
          <w:lang w:val="en-IE"/>
        </w:rPr>
        <w:t xml:space="preserve"> or </w:t>
      </w:r>
      <w:r w:rsidRPr="0010002A">
        <w:rPr>
          <w:i/>
          <w:iCs/>
          <w:lang w:val="en-IE"/>
        </w:rPr>
        <w:t>disabilities</w:t>
      </w:r>
      <w:r w:rsidRPr="0010002A">
        <w:rPr>
          <w:lang w:val="en-IE"/>
        </w:rPr>
        <w:t>. Children may require different levels of support at different times to enable full participation in daily life</w:t>
      </w:r>
      <w:r>
        <w:rPr>
          <w:lang w:val="en-IE"/>
        </w:rPr>
        <w:t>.</w:t>
      </w:r>
    </w:p>
    <w:p w14:paraId="03627FF9" w14:textId="77777777" w:rsidR="00791EF7" w:rsidRPr="0010002A" w:rsidRDefault="00791EF7" w:rsidP="00791EF7">
      <w:pPr>
        <w:rPr>
          <w:lang w:val="en-IE"/>
        </w:rPr>
      </w:pPr>
      <w:r w:rsidRPr="0010002A">
        <w:rPr>
          <w:lang w:val="en-IE"/>
        </w:rPr>
        <w:t xml:space="preserve">Feedback from national and local structures such as </w:t>
      </w:r>
      <w:proofErr w:type="spellStart"/>
      <w:r w:rsidRPr="0010002A">
        <w:rPr>
          <w:lang w:val="en-IE"/>
        </w:rPr>
        <w:t>Tusla</w:t>
      </w:r>
      <w:proofErr w:type="spellEnd"/>
      <w:r w:rsidRPr="0010002A">
        <w:rPr>
          <w:lang w:val="en-IE"/>
        </w:rPr>
        <w:t xml:space="preserve">, HSE, CYPSC, NEPS, NCSE, Better Start and community </w:t>
      </w:r>
      <w:r>
        <w:rPr>
          <w:lang w:val="en-IE"/>
        </w:rPr>
        <w:t xml:space="preserve">and voluntary </w:t>
      </w:r>
      <w:r w:rsidRPr="0010002A">
        <w:rPr>
          <w:lang w:val="en-IE"/>
        </w:rPr>
        <w:t>organisations</w:t>
      </w:r>
      <w:r>
        <w:rPr>
          <w:lang w:val="en-IE"/>
        </w:rPr>
        <w:t>,</w:t>
      </w:r>
      <w:r w:rsidRPr="0010002A">
        <w:rPr>
          <w:lang w:val="en-IE"/>
        </w:rPr>
        <w:t xml:space="preserve"> indicates that both parents and practitioners require more coordinated, structured, and accessible pathways of support. Practitioners have reported varied access to training, differing levels of preparedness, and a need for clearer national guidance.</w:t>
      </w:r>
    </w:p>
    <w:p w14:paraId="74D41A7E" w14:textId="77777777" w:rsidR="00791EF7" w:rsidRPr="0010002A" w:rsidRDefault="00791EF7" w:rsidP="00791EF7">
      <w:pPr>
        <w:rPr>
          <w:lang w:val="en-IE"/>
        </w:rPr>
      </w:pPr>
      <w:r w:rsidRPr="0010002A">
        <w:rPr>
          <w:lang w:val="en-IE"/>
        </w:rPr>
        <w:t xml:space="preserve">Existing insights are largely anecdotal; therefore, systematic data collection is needed to identify consistent trends, gaps, and opportunities for improvement. Parents have expressed interest in more </w:t>
      </w:r>
      <w:r w:rsidRPr="0010002A">
        <w:rPr>
          <w:lang w:val="en-IE"/>
        </w:rPr>
        <w:lastRenderedPageBreak/>
        <w:t>practical, navigable information about accessing services, while practitioners have noted the value of a national, standardised approach to understanding and supporting families.</w:t>
      </w:r>
    </w:p>
    <w:p w14:paraId="080945F8" w14:textId="77777777" w:rsidR="00791EF7" w:rsidRDefault="00791EF7" w:rsidP="00791EF7">
      <w:pPr>
        <w:rPr>
          <w:b/>
          <w:lang w:val="en-IE"/>
        </w:rPr>
      </w:pPr>
      <w:r w:rsidRPr="00DB0D06">
        <w:rPr>
          <w:b/>
          <w:lang w:val="en-IE"/>
        </w:rPr>
        <w:t xml:space="preserve">1.2 </w:t>
      </w:r>
      <w:r>
        <w:rPr>
          <w:b/>
          <w:lang w:val="en-IE"/>
        </w:rPr>
        <w:t xml:space="preserve">Current Policy and Strategy Context </w:t>
      </w:r>
    </w:p>
    <w:p w14:paraId="66CDE7AD" w14:textId="77777777" w:rsidR="00791EF7" w:rsidRDefault="00791EF7" w:rsidP="00791EF7">
      <w:pPr>
        <w:rPr>
          <w:bCs/>
          <w:lang w:val="en-IE"/>
        </w:rPr>
      </w:pPr>
      <w:r>
        <w:rPr>
          <w:bCs/>
          <w:lang w:val="en-IE"/>
        </w:rPr>
        <w:t xml:space="preserve">Key policy frameworks underpinning this study include: </w:t>
      </w:r>
    </w:p>
    <w:p w14:paraId="043DB49D" w14:textId="77777777" w:rsidR="00791EF7" w:rsidRPr="00373DF7" w:rsidRDefault="00791EF7" w:rsidP="00791EF7">
      <w:pPr>
        <w:pStyle w:val="ListParagraph"/>
        <w:numPr>
          <w:ilvl w:val="0"/>
          <w:numId w:val="35"/>
        </w:numPr>
        <w:rPr>
          <w:b/>
          <w:lang w:val="en-IE"/>
        </w:rPr>
      </w:pPr>
      <w:r w:rsidRPr="00373DF7">
        <w:rPr>
          <w:b/>
          <w:lang w:val="en-IE"/>
        </w:rPr>
        <w:t>S</w:t>
      </w:r>
      <w:r w:rsidRPr="00373DF7">
        <w:rPr>
          <w:b/>
          <w:bCs/>
          <w:lang w:val="en-IE"/>
        </w:rPr>
        <w:t>upporting Parents: A National Model of Parenting Support Services</w:t>
      </w:r>
      <w:r w:rsidRPr="00373DF7">
        <w:rPr>
          <w:b/>
          <w:lang w:val="en-IE"/>
        </w:rPr>
        <w:t xml:space="preserve">, </w:t>
      </w:r>
      <w:r w:rsidRPr="00373DF7">
        <w:rPr>
          <w:bCs/>
          <w:lang w:val="en-IE"/>
        </w:rPr>
        <w:t>which identifies actions to enhance signposting</w:t>
      </w:r>
      <w:r>
        <w:rPr>
          <w:bCs/>
          <w:lang w:val="en-IE"/>
        </w:rPr>
        <w:t xml:space="preserve"> and increased</w:t>
      </w:r>
      <w:r w:rsidRPr="00373DF7">
        <w:rPr>
          <w:bCs/>
          <w:lang w:val="en-IE"/>
        </w:rPr>
        <w:t xml:space="preserve"> access to supports, and practitioner training. </w:t>
      </w:r>
    </w:p>
    <w:p w14:paraId="4E469991" w14:textId="77777777" w:rsidR="00791EF7" w:rsidRPr="00373DF7" w:rsidRDefault="00791EF7" w:rsidP="00791EF7">
      <w:pPr>
        <w:pStyle w:val="ListParagraph"/>
        <w:numPr>
          <w:ilvl w:val="0"/>
          <w:numId w:val="35"/>
        </w:numPr>
        <w:rPr>
          <w:b/>
          <w:lang w:val="en-IE"/>
        </w:rPr>
      </w:pPr>
      <w:r w:rsidRPr="00373DF7">
        <w:rPr>
          <w:b/>
          <w:bCs/>
          <w:lang w:val="en-IE"/>
        </w:rPr>
        <w:t>First 5: A Whole</w:t>
      </w:r>
      <w:r w:rsidRPr="00373DF7">
        <w:rPr>
          <w:b/>
          <w:bCs/>
          <w:lang w:val="en-IE"/>
        </w:rPr>
        <w:noBreakHyphen/>
        <w:t>of</w:t>
      </w:r>
      <w:r w:rsidRPr="00373DF7">
        <w:rPr>
          <w:b/>
          <w:bCs/>
          <w:lang w:val="en-IE"/>
        </w:rPr>
        <w:noBreakHyphen/>
        <w:t>Government Strategy for Babies, Young Children and Their Families</w:t>
      </w:r>
      <w:r w:rsidRPr="00373DF7">
        <w:rPr>
          <w:b/>
          <w:lang w:val="en-IE"/>
        </w:rPr>
        <w:t xml:space="preserve">, </w:t>
      </w:r>
      <w:r w:rsidRPr="00373DF7">
        <w:rPr>
          <w:bCs/>
          <w:lang w:val="en-IE"/>
        </w:rPr>
        <w:t>which commits to improving inclusion supports, early learning pathways, and access to services for children with additional needs.</w:t>
      </w:r>
      <w:r w:rsidRPr="00373DF7">
        <w:rPr>
          <w:b/>
          <w:lang w:val="en-IE"/>
        </w:rPr>
        <w:t xml:space="preserve"> </w:t>
      </w:r>
    </w:p>
    <w:p w14:paraId="057E21CD" w14:textId="77777777" w:rsidR="00791EF7" w:rsidRPr="00373DF7" w:rsidRDefault="00791EF7" w:rsidP="00791EF7">
      <w:pPr>
        <w:pStyle w:val="ListParagraph"/>
        <w:numPr>
          <w:ilvl w:val="0"/>
          <w:numId w:val="35"/>
        </w:numPr>
        <w:rPr>
          <w:bCs/>
          <w:lang w:val="en-IE"/>
        </w:rPr>
      </w:pPr>
      <w:r w:rsidRPr="00373DF7">
        <w:rPr>
          <w:b/>
          <w:bCs/>
          <w:lang w:val="en-IE"/>
        </w:rPr>
        <w:t>The National Human Rights Strategy for Disabled People 2025–2030</w:t>
      </w:r>
      <w:r w:rsidRPr="00373DF7">
        <w:rPr>
          <w:b/>
          <w:lang w:val="en-IE"/>
        </w:rPr>
        <w:t xml:space="preserve">, </w:t>
      </w:r>
      <w:r w:rsidRPr="00373DF7">
        <w:rPr>
          <w:bCs/>
          <w:lang w:val="en-IE"/>
        </w:rPr>
        <w:t>which emphasises equitable access to services, participation in community life, and holistic supports for families of disabled children.</w:t>
      </w:r>
    </w:p>
    <w:p w14:paraId="52E36BF2" w14:textId="77777777" w:rsidR="00791EF7" w:rsidRPr="000C183B" w:rsidRDefault="00791EF7" w:rsidP="00791EF7">
      <w:pPr>
        <w:rPr>
          <w:bCs/>
          <w:lang w:val="en-IE"/>
        </w:rPr>
      </w:pPr>
      <w:r w:rsidRPr="000C183B">
        <w:rPr>
          <w:bCs/>
          <w:lang w:val="en-IE"/>
        </w:rPr>
        <w:t>These strategies collectively reinforce the importance of understanding support needs across the lifespan and ensuring both parents and professionals are equipped to respond.</w:t>
      </w:r>
    </w:p>
    <w:p w14:paraId="79B0FEC6" w14:textId="77777777" w:rsidR="00791EF7" w:rsidRPr="00DB0D06" w:rsidRDefault="00791EF7" w:rsidP="00791EF7">
      <w:pPr>
        <w:rPr>
          <w:b/>
          <w:lang w:val="en-IE"/>
        </w:rPr>
      </w:pPr>
      <w:r w:rsidRPr="00DB0D06">
        <w:rPr>
          <w:b/>
          <w:lang w:val="en-IE"/>
        </w:rPr>
        <w:t>Study Objectives and Research Design Considerations</w:t>
      </w:r>
    </w:p>
    <w:p w14:paraId="162AE64C" w14:textId="77777777" w:rsidR="00791EF7" w:rsidRPr="00DB0D06" w:rsidRDefault="00791EF7" w:rsidP="00791EF7">
      <w:pPr>
        <w:rPr>
          <w:b/>
          <w:lang w:val="en-IE"/>
        </w:rPr>
      </w:pPr>
      <w:r w:rsidRPr="00DB0D06">
        <w:rPr>
          <w:b/>
          <w:lang w:val="en-IE"/>
        </w:rPr>
        <w:t>2.1 Study Objectives</w:t>
      </w:r>
    </w:p>
    <w:p w14:paraId="06D1A889" w14:textId="77777777" w:rsidR="00791EF7" w:rsidRPr="00DB0D06" w:rsidRDefault="00791EF7" w:rsidP="00791EF7">
      <w:pPr>
        <w:rPr>
          <w:lang w:val="en-IE"/>
        </w:rPr>
      </w:pPr>
      <w:r w:rsidRPr="00DB0D06">
        <w:rPr>
          <w:lang w:val="en-IE"/>
        </w:rPr>
        <w:t>The objectives of the study are to:</w:t>
      </w:r>
    </w:p>
    <w:p w14:paraId="343B48B7" w14:textId="77777777" w:rsidR="00791EF7" w:rsidRPr="00817F60" w:rsidRDefault="00791EF7" w:rsidP="00791EF7">
      <w:pPr>
        <w:pStyle w:val="ListParagraph"/>
        <w:numPr>
          <w:ilvl w:val="0"/>
          <w:numId w:val="27"/>
        </w:numPr>
        <w:rPr>
          <w:lang w:val="en-IE"/>
        </w:rPr>
      </w:pPr>
      <w:r w:rsidRPr="00817F60">
        <w:rPr>
          <w:lang w:val="en-IE"/>
        </w:rPr>
        <w:t xml:space="preserve">Identify the most helpful </w:t>
      </w:r>
      <w:proofErr w:type="gramStart"/>
      <w:r>
        <w:rPr>
          <w:lang w:val="en-IE"/>
        </w:rPr>
        <w:t>non therapeutic</w:t>
      </w:r>
      <w:proofErr w:type="gramEnd"/>
      <w:r>
        <w:rPr>
          <w:lang w:val="en-IE"/>
        </w:rPr>
        <w:t xml:space="preserve"> </w:t>
      </w:r>
      <w:r w:rsidRPr="00817F60">
        <w:rPr>
          <w:lang w:val="en-IE"/>
        </w:rPr>
        <w:t xml:space="preserve">parenting supports for parents of children with additional needs </w:t>
      </w:r>
      <w:r w:rsidRPr="0043796C">
        <w:rPr>
          <w:szCs w:val="22"/>
        </w:rPr>
        <w:t xml:space="preserve">throughout their </w:t>
      </w:r>
      <w:proofErr w:type="gramStart"/>
      <w:r w:rsidRPr="0043796C">
        <w:rPr>
          <w:szCs w:val="22"/>
        </w:rPr>
        <w:t>journey</w:t>
      </w:r>
      <w:r w:rsidRPr="00817F60">
        <w:rPr>
          <w:lang w:val="en-IE"/>
        </w:rPr>
        <w:t>;</w:t>
      </w:r>
      <w:proofErr w:type="gramEnd"/>
      <w:r w:rsidRPr="00817F60">
        <w:rPr>
          <w:lang w:val="en-IE"/>
        </w:rPr>
        <w:t xml:space="preserve"> </w:t>
      </w:r>
    </w:p>
    <w:p w14:paraId="6161701E" w14:textId="77777777" w:rsidR="00791EF7" w:rsidRPr="00817F60" w:rsidRDefault="00791EF7" w:rsidP="00791EF7">
      <w:pPr>
        <w:pStyle w:val="ListParagraph"/>
        <w:numPr>
          <w:ilvl w:val="0"/>
          <w:numId w:val="27"/>
        </w:numPr>
        <w:rPr>
          <w:lang w:val="en-IE"/>
        </w:rPr>
      </w:pPr>
      <w:r w:rsidRPr="00817F60">
        <w:rPr>
          <w:lang w:val="en-IE"/>
        </w:rPr>
        <w:t xml:space="preserve">Identify the supports parents wish they had received at earlier </w:t>
      </w:r>
      <w:proofErr w:type="gramStart"/>
      <w:r w:rsidRPr="00817F60">
        <w:rPr>
          <w:lang w:val="en-IE"/>
        </w:rPr>
        <w:t>stages;</w:t>
      </w:r>
      <w:proofErr w:type="gramEnd"/>
      <w:r w:rsidRPr="00817F60">
        <w:rPr>
          <w:lang w:val="en-IE"/>
        </w:rPr>
        <w:t xml:space="preserve"> </w:t>
      </w:r>
    </w:p>
    <w:p w14:paraId="72170E5B" w14:textId="77777777" w:rsidR="00791EF7" w:rsidRDefault="00791EF7" w:rsidP="00791EF7">
      <w:pPr>
        <w:pStyle w:val="ListParagraph"/>
        <w:numPr>
          <w:ilvl w:val="0"/>
          <w:numId w:val="27"/>
        </w:numPr>
        <w:rPr>
          <w:lang w:val="en-IE"/>
        </w:rPr>
      </w:pPr>
      <w:r w:rsidRPr="00C050D1">
        <w:rPr>
          <w:lang w:val="en-IE"/>
        </w:rPr>
        <w:t xml:space="preserve">Identify effective practitioner training approaches and determine what additional training or support practitioners </w:t>
      </w:r>
      <w:proofErr w:type="gramStart"/>
      <w:r w:rsidRPr="00C050D1">
        <w:rPr>
          <w:lang w:val="en-IE"/>
        </w:rPr>
        <w:t>need;</w:t>
      </w:r>
      <w:proofErr w:type="gramEnd"/>
      <w:r w:rsidRPr="00C050D1">
        <w:rPr>
          <w:lang w:val="en-IE"/>
        </w:rPr>
        <w:t xml:space="preserve"> </w:t>
      </w:r>
    </w:p>
    <w:p w14:paraId="798EA2A1" w14:textId="77777777" w:rsidR="00791EF7" w:rsidRPr="00C050D1" w:rsidRDefault="00791EF7" w:rsidP="00791EF7">
      <w:pPr>
        <w:pStyle w:val="ListParagraph"/>
        <w:numPr>
          <w:ilvl w:val="0"/>
          <w:numId w:val="27"/>
        </w:numPr>
        <w:rPr>
          <w:lang w:val="en-IE"/>
        </w:rPr>
      </w:pPr>
      <w:r w:rsidRPr="00C050D1">
        <w:rPr>
          <w:lang w:val="en-IE"/>
        </w:rPr>
        <w:t>Generate a national evidence base to guide the design of consistent, high</w:t>
      </w:r>
      <w:r w:rsidRPr="00C050D1">
        <w:rPr>
          <w:lang w:val="en-IE"/>
        </w:rPr>
        <w:noBreakHyphen/>
        <w:t xml:space="preserve">quality supports for both parents and </w:t>
      </w:r>
      <w:proofErr w:type="gramStart"/>
      <w:r w:rsidRPr="00C050D1">
        <w:rPr>
          <w:lang w:val="en-IE"/>
        </w:rPr>
        <w:t>practitioners;</w:t>
      </w:r>
      <w:proofErr w:type="gramEnd"/>
      <w:r w:rsidRPr="00C050D1">
        <w:rPr>
          <w:lang w:val="en-IE"/>
        </w:rPr>
        <w:t xml:space="preserve"> </w:t>
      </w:r>
    </w:p>
    <w:p w14:paraId="7001F824" w14:textId="77777777" w:rsidR="00791EF7" w:rsidRPr="00817F60" w:rsidRDefault="00791EF7" w:rsidP="00791EF7">
      <w:pPr>
        <w:pStyle w:val="ListParagraph"/>
        <w:numPr>
          <w:ilvl w:val="0"/>
          <w:numId w:val="27"/>
        </w:numPr>
        <w:rPr>
          <w:lang w:val="en-IE"/>
        </w:rPr>
      </w:pPr>
      <w:r w:rsidRPr="00817F60">
        <w:rPr>
          <w:lang w:val="en-IE"/>
        </w:rPr>
        <w:t>Inform future phases of national systems development, including mapping exercises and guidance development.</w:t>
      </w:r>
    </w:p>
    <w:p w14:paraId="16996E73" w14:textId="77777777" w:rsidR="00791EF7" w:rsidRPr="00DB0D06" w:rsidRDefault="00791EF7" w:rsidP="00791EF7">
      <w:pPr>
        <w:rPr>
          <w:b/>
          <w:lang w:val="en-IE"/>
        </w:rPr>
      </w:pPr>
      <w:r w:rsidRPr="00DB0D06">
        <w:rPr>
          <w:b/>
          <w:lang w:val="en-IE"/>
        </w:rPr>
        <w:t>2.2 Research Design Considerations</w:t>
      </w:r>
    </w:p>
    <w:p w14:paraId="172EDE83" w14:textId="77777777" w:rsidR="00791EF7" w:rsidRPr="00817F60" w:rsidRDefault="00791EF7" w:rsidP="00791EF7">
      <w:pPr>
        <w:rPr>
          <w:b/>
          <w:bCs/>
          <w:lang w:val="en-IE"/>
        </w:rPr>
      </w:pPr>
      <w:r>
        <w:rPr>
          <w:b/>
          <w:bCs/>
          <w:lang w:val="en-IE"/>
        </w:rPr>
        <w:t>P</w:t>
      </w:r>
      <w:r w:rsidRPr="00817F60">
        <w:rPr>
          <w:b/>
          <w:bCs/>
          <w:lang w:val="en-IE"/>
        </w:rPr>
        <w:t>hase 1 – National Surveys</w:t>
      </w:r>
    </w:p>
    <w:p w14:paraId="7C1B0BEC" w14:textId="77777777" w:rsidR="00791EF7" w:rsidRDefault="00791EF7" w:rsidP="00791EF7">
      <w:pPr>
        <w:rPr>
          <w:lang w:val="en-IE"/>
        </w:rPr>
      </w:pPr>
      <w:r w:rsidRPr="00817F60">
        <w:rPr>
          <w:lang w:val="en-IE"/>
        </w:rPr>
        <w:t>A consultant will be commissioned to</w:t>
      </w:r>
      <w:r>
        <w:rPr>
          <w:lang w:val="en-IE"/>
        </w:rPr>
        <w:t>:</w:t>
      </w:r>
      <w:r w:rsidRPr="00817F60">
        <w:rPr>
          <w:lang w:val="en-IE"/>
        </w:rPr>
        <w:t xml:space="preserve"> </w:t>
      </w:r>
    </w:p>
    <w:p w14:paraId="34A54FC0" w14:textId="094B4B9B" w:rsidR="00791EF7" w:rsidRPr="00F33D05" w:rsidRDefault="00791EF7" w:rsidP="00F33D05">
      <w:pPr>
        <w:pStyle w:val="ListParagraph"/>
        <w:numPr>
          <w:ilvl w:val="0"/>
          <w:numId w:val="41"/>
        </w:numPr>
        <w:rPr>
          <w:lang w:val="en-IE"/>
        </w:rPr>
      </w:pPr>
      <w:r w:rsidRPr="00F33D05">
        <w:rPr>
          <w:lang w:val="en-IE"/>
        </w:rPr>
        <w:t xml:space="preserve">Conduct a literature review on the effectiveness of informational advice and non-therapeutic supports, for parents of children with additional needs, and parental and practitioner perception of this </w:t>
      </w:r>
      <w:proofErr w:type="gramStart"/>
      <w:r w:rsidRPr="00F33D05">
        <w:rPr>
          <w:lang w:val="en-IE"/>
        </w:rPr>
        <w:t>type</w:t>
      </w:r>
      <w:proofErr w:type="gramEnd"/>
      <w:r w:rsidRPr="00F33D05">
        <w:rPr>
          <w:lang w:val="en-IE"/>
        </w:rPr>
        <w:t xml:space="preserve"> support.</w:t>
      </w:r>
    </w:p>
    <w:p w14:paraId="44F14BB2" w14:textId="25712F0F" w:rsidR="00791EF7" w:rsidRPr="00F33D05" w:rsidRDefault="00791EF7" w:rsidP="00F33D05">
      <w:pPr>
        <w:pStyle w:val="ListParagraph"/>
        <w:numPr>
          <w:ilvl w:val="0"/>
          <w:numId w:val="41"/>
        </w:numPr>
        <w:rPr>
          <w:lang w:val="en-IE"/>
        </w:rPr>
      </w:pPr>
      <w:r w:rsidRPr="00F33D05">
        <w:rPr>
          <w:lang w:val="en-IE"/>
        </w:rPr>
        <w:t>Co-design survey questions with parents and practitioners.</w:t>
      </w:r>
    </w:p>
    <w:p w14:paraId="77F1C86C" w14:textId="67ECC364" w:rsidR="00791EF7" w:rsidRPr="00F33D05" w:rsidRDefault="00791EF7" w:rsidP="00F33D05">
      <w:pPr>
        <w:pStyle w:val="ListParagraph"/>
        <w:numPr>
          <w:ilvl w:val="0"/>
          <w:numId w:val="41"/>
        </w:numPr>
        <w:rPr>
          <w:lang w:val="en-IE"/>
        </w:rPr>
      </w:pPr>
      <w:r w:rsidRPr="00F33D05">
        <w:rPr>
          <w:lang w:val="en-IE"/>
        </w:rPr>
        <w:t>Conduct two national surveys:</w:t>
      </w:r>
    </w:p>
    <w:p w14:paraId="11A2D27F" w14:textId="77777777" w:rsidR="00791EF7" w:rsidRPr="002214EC" w:rsidRDefault="00791EF7" w:rsidP="00791EF7">
      <w:pPr>
        <w:pStyle w:val="ListParagraph"/>
        <w:numPr>
          <w:ilvl w:val="0"/>
          <w:numId w:val="36"/>
        </w:numPr>
        <w:spacing w:after="160" w:line="278" w:lineRule="auto"/>
        <w:rPr>
          <w:szCs w:val="22"/>
        </w:rPr>
      </w:pPr>
      <w:r w:rsidRPr="002D62E0">
        <w:rPr>
          <w:lang w:val="en-IE"/>
        </w:rPr>
        <w:t xml:space="preserve">A survey of parents focusing on helpful </w:t>
      </w:r>
      <w:proofErr w:type="gramStart"/>
      <w:r w:rsidRPr="002D62E0">
        <w:rPr>
          <w:lang w:val="en-IE"/>
        </w:rPr>
        <w:t>non therapeutic</w:t>
      </w:r>
      <w:proofErr w:type="gramEnd"/>
      <w:r w:rsidRPr="002D62E0">
        <w:rPr>
          <w:lang w:val="en-IE"/>
        </w:rPr>
        <w:t xml:space="preserve"> parenting supports, unmet support needs, supports received throughout the journey, and ineffective or unhelpful supports.</w:t>
      </w:r>
    </w:p>
    <w:p w14:paraId="2E71FDF9" w14:textId="77777777" w:rsidR="00791EF7" w:rsidRDefault="00791EF7" w:rsidP="00791EF7">
      <w:pPr>
        <w:pStyle w:val="ListParagraph"/>
        <w:numPr>
          <w:ilvl w:val="0"/>
          <w:numId w:val="36"/>
        </w:numPr>
        <w:spacing w:after="160" w:line="278" w:lineRule="auto"/>
        <w:rPr>
          <w:szCs w:val="22"/>
        </w:rPr>
      </w:pPr>
      <w:r w:rsidRPr="007F284B">
        <w:rPr>
          <w:szCs w:val="22"/>
        </w:rPr>
        <w:t xml:space="preserve">Exploring topics such </w:t>
      </w:r>
      <w:proofErr w:type="gramStart"/>
      <w:r w:rsidRPr="007F284B">
        <w:rPr>
          <w:szCs w:val="22"/>
        </w:rPr>
        <w:t>as</w:t>
      </w:r>
      <w:r>
        <w:rPr>
          <w:szCs w:val="22"/>
        </w:rPr>
        <w:t>;</w:t>
      </w:r>
      <w:proofErr w:type="gramEnd"/>
      <w:r>
        <w:rPr>
          <w:szCs w:val="22"/>
        </w:rPr>
        <w:t xml:space="preserve"> </w:t>
      </w:r>
    </w:p>
    <w:p w14:paraId="6628F6E5" w14:textId="49A338A9" w:rsidR="00791EF7" w:rsidRDefault="00791EF7" w:rsidP="00791EF7">
      <w:pPr>
        <w:pStyle w:val="ListParagraph"/>
        <w:numPr>
          <w:ilvl w:val="1"/>
          <w:numId w:val="36"/>
        </w:numPr>
        <w:spacing w:after="160" w:line="278" w:lineRule="auto"/>
        <w:rPr>
          <w:szCs w:val="22"/>
        </w:rPr>
      </w:pPr>
      <w:r w:rsidRPr="007F284B">
        <w:rPr>
          <w:szCs w:val="22"/>
        </w:rPr>
        <w:t>Have they received any non-therapeutic parental supports to help them be more confident and capable in their parenting of their children with additional needs?</w:t>
      </w:r>
    </w:p>
    <w:p w14:paraId="4C94AD4C" w14:textId="43D0AE6F" w:rsidR="00791EF7" w:rsidRPr="0043796C" w:rsidRDefault="00791EF7" w:rsidP="00791EF7">
      <w:pPr>
        <w:numPr>
          <w:ilvl w:val="1"/>
          <w:numId w:val="36"/>
        </w:numPr>
        <w:spacing w:after="160" w:line="278" w:lineRule="auto"/>
        <w:rPr>
          <w:szCs w:val="22"/>
        </w:rPr>
      </w:pPr>
      <w:r w:rsidRPr="0043796C">
        <w:rPr>
          <w:szCs w:val="22"/>
        </w:rPr>
        <w:t xml:space="preserve">What is the most </w:t>
      </w:r>
      <w:r w:rsidR="00391F56" w:rsidRPr="000C7B84">
        <w:rPr>
          <w:szCs w:val="22"/>
        </w:rPr>
        <w:t>beneficial support</w:t>
      </w:r>
      <w:r w:rsidRPr="000C7B84">
        <w:rPr>
          <w:szCs w:val="22"/>
        </w:rPr>
        <w:t xml:space="preserve"> </w:t>
      </w:r>
      <w:r w:rsidRPr="0043796C">
        <w:rPr>
          <w:szCs w:val="22"/>
        </w:rPr>
        <w:t xml:space="preserve">they need to be more confident and capable in their parenting of their children with additional needs? </w:t>
      </w:r>
    </w:p>
    <w:p w14:paraId="7EC90AFB" w14:textId="77777777" w:rsidR="00791EF7" w:rsidRPr="00155448" w:rsidRDefault="00791EF7" w:rsidP="00791EF7">
      <w:pPr>
        <w:numPr>
          <w:ilvl w:val="1"/>
          <w:numId w:val="36"/>
        </w:numPr>
        <w:spacing w:after="160" w:line="278" w:lineRule="auto"/>
        <w:rPr>
          <w:szCs w:val="22"/>
        </w:rPr>
      </w:pPr>
      <w:r w:rsidRPr="00155448">
        <w:rPr>
          <w:szCs w:val="22"/>
        </w:rPr>
        <w:lastRenderedPageBreak/>
        <w:t>Where do they currently access non-therapeutic parental support?</w:t>
      </w:r>
    </w:p>
    <w:p w14:paraId="01B73F3D" w14:textId="77777777" w:rsidR="00791EF7" w:rsidRPr="002D62E0" w:rsidRDefault="00791EF7" w:rsidP="00791EF7">
      <w:pPr>
        <w:pStyle w:val="ListParagraph"/>
        <w:numPr>
          <w:ilvl w:val="0"/>
          <w:numId w:val="36"/>
        </w:numPr>
        <w:spacing w:after="160" w:line="278" w:lineRule="auto"/>
        <w:rPr>
          <w:szCs w:val="22"/>
        </w:rPr>
      </w:pPr>
      <w:r w:rsidRPr="002D62E0">
        <w:rPr>
          <w:szCs w:val="22"/>
        </w:rPr>
        <w:t>We would like to see a minimum of 200 parents engaged in this survey</w:t>
      </w:r>
      <w:r>
        <w:rPr>
          <w:szCs w:val="22"/>
        </w:rPr>
        <w:t>.</w:t>
      </w:r>
    </w:p>
    <w:p w14:paraId="6E01CAF8" w14:textId="77777777" w:rsidR="00791EF7" w:rsidRDefault="00791EF7" w:rsidP="00791EF7">
      <w:pPr>
        <w:numPr>
          <w:ilvl w:val="0"/>
          <w:numId w:val="28"/>
        </w:numPr>
        <w:rPr>
          <w:lang w:val="en-IE"/>
        </w:rPr>
      </w:pPr>
      <w:r w:rsidRPr="002D62E0">
        <w:rPr>
          <w:lang w:val="en-IE"/>
        </w:rPr>
        <w:t>A survey of practitioners focusing on training received, training gaps, and required supports.</w:t>
      </w:r>
    </w:p>
    <w:p w14:paraId="55D474B2" w14:textId="77777777" w:rsidR="00791EF7" w:rsidRDefault="00791EF7" w:rsidP="00791EF7">
      <w:pPr>
        <w:numPr>
          <w:ilvl w:val="0"/>
          <w:numId w:val="28"/>
        </w:numPr>
        <w:spacing w:after="160" w:line="278" w:lineRule="auto"/>
        <w:rPr>
          <w:szCs w:val="22"/>
        </w:rPr>
      </w:pPr>
      <w:r>
        <w:rPr>
          <w:szCs w:val="22"/>
        </w:rPr>
        <w:t>E</w:t>
      </w:r>
      <w:r w:rsidRPr="00FF5D3B">
        <w:rPr>
          <w:szCs w:val="22"/>
        </w:rPr>
        <w:t xml:space="preserve">xploring topics such </w:t>
      </w:r>
      <w:proofErr w:type="gramStart"/>
      <w:r w:rsidRPr="00FF5D3B">
        <w:rPr>
          <w:szCs w:val="22"/>
        </w:rPr>
        <w:t>as</w:t>
      </w:r>
      <w:r w:rsidRPr="0043796C">
        <w:rPr>
          <w:szCs w:val="22"/>
        </w:rPr>
        <w:t>;</w:t>
      </w:r>
      <w:proofErr w:type="gramEnd"/>
      <w:r w:rsidRPr="0043796C">
        <w:rPr>
          <w:szCs w:val="22"/>
        </w:rPr>
        <w:t xml:space="preserve"> </w:t>
      </w:r>
    </w:p>
    <w:p w14:paraId="528DB119" w14:textId="77777777" w:rsidR="00791EF7" w:rsidRPr="0043796C" w:rsidRDefault="00791EF7" w:rsidP="00791EF7">
      <w:pPr>
        <w:numPr>
          <w:ilvl w:val="1"/>
          <w:numId w:val="28"/>
        </w:numPr>
        <w:spacing w:after="160" w:line="278" w:lineRule="auto"/>
        <w:rPr>
          <w:szCs w:val="22"/>
        </w:rPr>
      </w:pPr>
      <w:r w:rsidRPr="0043796C">
        <w:rPr>
          <w:szCs w:val="22"/>
        </w:rPr>
        <w:t>What training</w:t>
      </w:r>
      <w:r>
        <w:rPr>
          <w:szCs w:val="22"/>
        </w:rPr>
        <w:t>, information and/</w:t>
      </w:r>
      <w:r w:rsidRPr="0043796C">
        <w:rPr>
          <w:szCs w:val="22"/>
        </w:rPr>
        <w:t>or support have they received</w:t>
      </w:r>
      <w:r>
        <w:rPr>
          <w:szCs w:val="22"/>
        </w:rPr>
        <w:t xml:space="preserve"> specifically to support them to support this cohort of parents</w:t>
      </w:r>
      <w:r w:rsidRPr="0043796C">
        <w:rPr>
          <w:szCs w:val="22"/>
        </w:rPr>
        <w:t>?</w:t>
      </w:r>
    </w:p>
    <w:p w14:paraId="20CFDD28" w14:textId="77777777" w:rsidR="00791EF7" w:rsidRPr="00752265" w:rsidRDefault="00791EF7" w:rsidP="00791EF7">
      <w:pPr>
        <w:numPr>
          <w:ilvl w:val="1"/>
          <w:numId w:val="28"/>
        </w:numPr>
        <w:spacing w:after="160" w:line="278" w:lineRule="auto"/>
        <w:rPr>
          <w:szCs w:val="22"/>
        </w:rPr>
      </w:pPr>
      <w:r w:rsidRPr="0043796C">
        <w:rPr>
          <w:szCs w:val="22"/>
        </w:rPr>
        <w:t>What training</w:t>
      </w:r>
      <w:r>
        <w:rPr>
          <w:szCs w:val="22"/>
        </w:rPr>
        <w:t>, information and/</w:t>
      </w:r>
      <w:r w:rsidRPr="0043796C">
        <w:rPr>
          <w:szCs w:val="22"/>
        </w:rPr>
        <w:t>or support has been most beneficial</w:t>
      </w:r>
      <w:r>
        <w:rPr>
          <w:szCs w:val="22"/>
        </w:rPr>
        <w:t xml:space="preserve"> to support them to support this cohort of parents</w:t>
      </w:r>
      <w:r w:rsidRPr="0043796C">
        <w:rPr>
          <w:szCs w:val="22"/>
        </w:rPr>
        <w:t>?</w:t>
      </w:r>
    </w:p>
    <w:p w14:paraId="61640F89" w14:textId="77777777" w:rsidR="00791EF7" w:rsidRPr="002214EC" w:rsidRDefault="00791EF7" w:rsidP="00791EF7">
      <w:pPr>
        <w:numPr>
          <w:ilvl w:val="1"/>
          <w:numId w:val="28"/>
        </w:numPr>
        <w:spacing w:after="160" w:line="278" w:lineRule="auto"/>
        <w:rPr>
          <w:szCs w:val="22"/>
        </w:rPr>
      </w:pPr>
      <w:r w:rsidRPr="0043796C">
        <w:rPr>
          <w:szCs w:val="22"/>
        </w:rPr>
        <w:t>What training</w:t>
      </w:r>
      <w:r>
        <w:rPr>
          <w:szCs w:val="22"/>
        </w:rPr>
        <w:t>, information and/</w:t>
      </w:r>
      <w:r w:rsidRPr="0043796C">
        <w:rPr>
          <w:szCs w:val="22"/>
        </w:rPr>
        <w:t>or support did not meet their needs</w:t>
      </w:r>
      <w:r>
        <w:rPr>
          <w:szCs w:val="22"/>
        </w:rPr>
        <w:t xml:space="preserve"> to support them to support this cohort of parents</w:t>
      </w:r>
      <w:r w:rsidRPr="0043796C">
        <w:rPr>
          <w:szCs w:val="22"/>
        </w:rPr>
        <w:t>?</w:t>
      </w:r>
    </w:p>
    <w:p w14:paraId="56B4E9F6" w14:textId="77777777" w:rsidR="00791EF7" w:rsidRPr="00817F60" w:rsidRDefault="00791EF7" w:rsidP="00791EF7">
      <w:pPr>
        <w:pStyle w:val="NormalWeb"/>
        <w:spacing w:line="300" w:lineRule="atLeast"/>
        <w:rPr>
          <w:rFonts w:ascii="Segoe UI" w:hAnsi="Segoe UI" w:cs="Segoe UI"/>
          <w:b/>
          <w:bCs/>
          <w:sz w:val="21"/>
          <w:szCs w:val="21"/>
        </w:rPr>
      </w:pPr>
      <w:r>
        <w:rPr>
          <w:rFonts w:ascii="Segoe UI" w:hAnsi="Segoe UI" w:cs="Segoe UI"/>
          <w:b/>
          <w:bCs/>
          <w:sz w:val="21"/>
          <w:szCs w:val="21"/>
        </w:rPr>
        <w:t xml:space="preserve">Phase 2: </w:t>
      </w:r>
    </w:p>
    <w:p w14:paraId="38A55026" w14:textId="60ADB662" w:rsidR="000C3941" w:rsidRPr="000C7B84" w:rsidRDefault="000C3941"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 xml:space="preserve">Parents and </w:t>
      </w:r>
      <w:r w:rsidR="00F33D05" w:rsidRPr="00391F56">
        <w:rPr>
          <w:rFonts w:asciiTheme="minorHAnsi" w:hAnsiTheme="minorHAnsi" w:cstheme="minorHAnsi"/>
          <w:szCs w:val="22"/>
        </w:rPr>
        <w:t>practitioners</w:t>
      </w:r>
      <w:r w:rsidRPr="00391F56">
        <w:rPr>
          <w:rFonts w:asciiTheme="minorHAnsi" w:hAnsiTheme="minorHAnsi" w:cstheme="minorHAnsi"/>
          <w:szCs w:val="22"/>
        </w:rPr>
        <w:t xml:space="preserve"> completing the initial survey can be asked if they would be willing to take </w:t>
      </w:r>
      <w:r w:rsidRPr="000C7B84">
        <w:rPr>
          <w:rFonts w:asciiTheme="minorHAnsi" w:hAnsiTheme="minorHAnsi" w:cstheme="minorHAnsi"/>
          <w:szCs w:val="22"/>
        </w:rPr>
        <w:t>part in F</w:t>
      </w:r>
      <w:r w:rsidR="000C7B84" w:rsidRPr="000C7B84">
        <w:rPr>
          <w:rFonts w:asciiTheme="minorHAnsi" w:hAnsiTheme="minorHAnsi" w:cstheme="minorHAnsi"/>
          <w:szCs w:val="22"/>
        </w:rPr>
        <w:t>ocus Group Discussions</w:t>
      </w:r>
      <w:r w:rsidRPr="000C7B84">
        <w:rPr>
          <w:rFonts w:asciiTheme="minorHAnsi" w:hAnsiTheme="minorHAnsi" w:cstheme="minorHAnsi"/>
          <w:szCs w:val="22"/>
        </w:rPr>
        <w:t xml:space="preserve">. </w:t>
      </w:r>
    </w:p>
    <w:p w14:paraId="7580717C" w14:textId="43CFEF62" w:rsidR="00791EF7" w:rsidRPr="00391F56"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The research should meaningfully engage parents with lived experience</w:t>
      </w:r>
      <w:r w:rsidR="00391F56">
        <w:rPr>
          <w:rFonts w:asciiTheme="minorHAnsi" w:hAnsiTheme="minorHAnsi" w:cstheme="minorHAnsi"/>
          <w:szCs w:val="22"/>
        </w:rPr>
        <w:t>,</w:t>
      </w:r>
      <w:r w:rsidRPr="00391F56">
        <w:rPr>
          <w:rFonts w:asciiTheme="minorHAnsi" w:hAnsiTheme="minorHAnsi" w:cstheme="minorHAnsi"/>
          <w:szCs w:val="22"/>
        </w:rPr>
        <w:t xml:space="preserve"> and practitioners across multiple sectors, within 3-4 focus group</w:t>
      </w:r>
      <w:r w:rsidR="009F157A" w:rsidRPr="00391F56">
        <w:rPr>
          <w:rFonts w:asciiTheme="minorHAnsi" w:hAnsiTheme="minorHAnsi" w:cstheme="minorHAnsi"/>
          <w:szCs w:val="22"/>
        </w:rPr>
        <w:t>s.</w:t>
      </w:r>
    </w:p>
    <w:p w14:paraId="5B8E8A32" w14:textId="4C9D061C" w:rsidR="00791EF7" w:rsidRPr="00391F56"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Co design qualitative interview/</w:t>
      </w:r>
      <w:r w:rsidR="000C7B84" w:rsidRPr="000C7B84">
        <w:rPr>
          <w:rFonts w:asciiTheme="minorHAnsi" w:hAnsiTheme="minorHAnsi" w:cstheme="minorHAnsi"/>
          <w:szCs w:val="22"/>
        </w:rPr>
        <w:t xml:space="preserve"> Focus Group Discussions</w:t>
      </w:r>
      <w:r w:rsidR="000C7B84" w:rsidRPr="00391F56">
        <w:rPr>
          <w:rFonts w:asciiTheme="minorHAnsi" w:hAnsiTheme="minorHAnsi" w:cstheme="minorHAnsi"/>
          <w:color w:val="FF0000"/>
          <w:szCs w:val="22"/>
        </w:rPr>
        <w:t xml:space="preserve"> </w:t>
      </w:r>
      <w:r w:rsidRPr="00391F56">
        <w:rPr>
          <w:rFonts w:asciiTheme="minorHAnsi" w:hAnsiTheme="minorHAnsi" w:cstheme="minorHAnsi"/>
          <w:szCs w:val="22"/>
        </w:rPr>
        <w:t>discussion questions with parents and practitioners</w:t>
      </w:r>
      <w:r w:rsidR="009F157A" w:rsidRPr="00391F56">
        <w:rPr>
          <w:rFonts w:asciiTheme="minorHAnsi" w:hAnsiTheme="minorHAnsi" w:cstheme="minorHAnsi"/>
          <w:szCs w:val="22"/>
        </w:rPr>
        <w:t>.</w:t>
      </w:r>
    </w:p>
    <w:p w14:paraId="06588C97" w14:textId="77777777" w:rsidR="00791EF7" w:rsidRPr="00391F56"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Follow up qualitative interviews/focus groups with parents, these can be online.</w:t>
      </w:r>
    </w:p>
    <w:p w14:paraId="0E1629F7" w14:textId="2F687DF1" w:rsidR="00791EF7" w:rsidRPr="00391F56"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 xml:space="preserve">Follow up qualitative interviews/focus groups with practitioners. Aiming for 10-12 practitioners taking part in the </w:t>
      </w:r>
      <w:r w:rsidR="000C7B84" w:rsidRPr="000C7B84">
        <w:rPr>
          <w:rFonts w:asciiTheme="minorHAnsi" w:hAnsiTheme="minorHAnsi" w:cstheme="minorHAnsi"/>
          <w:szCs w:val="22"/>
        </w:rPr>
        <w:t>Focus Group Discussions</w:t>
      </w:r>
      <w:r w:rsidR="000C7B84" w:rsidRPr="00391F56">
        <w:rPr>
          <w:rFonts w:asciiTheme="minorHAnsi" w:hAnsiTheme="minorHAnsi" w:cstheme="minorHAnsi"/>
          <w:color w:val="FF0000"/>
          <w:szCs w:val="22"/>
        </w:rPr>
        <w:t xml:space="preserve"> </w:t>
      </w:r>
      <w:r w:rsidRPr="00391F56">
        <w:rPr>
          <w:rFonts w:asciiTheme="minorHAnsi" w:hAnsiTheme="minorHAnsi" w:cstheme="minorHAnsi"/>
          <w:szCs w:val="22"/>
        </w:rPr>
        <w:t>these can be online.</w:t>
      </w:r>
    </w:p>
    <w:p w14:paraId="0354A98C" w14:textId="4CDB1917" w:rsidR="00791EF7" w:rsidRPr="00391F56"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Summarise findings</w:t>
      </w:r>
      <w:r w:rsidR="007D2866" w:rsidRPr="00391F56">
        <w:rPr>
          <w:rFonts w:asciiTheme="minorHAnsi" w:hAnsiTheme="minorHAnsi" w:cstheme="minorHAnsi"/>
          <w:szCs w:val="22"/>
        </w:rPr>
        <w:t>, see Section 2.3.1</w:t>
      </w:r>
    </w:p>
    <w:p w14:paraId="61F917E7" w14:textId="56B46423" w:rsidR="00791EF7" w:rsidRPr="000C7B84" w:rsidRDefault="00791EF7" w:rsidP="00791EF7">
      <w:pPr>
        <w:pStyle w:val="NormalWeb"/>
        <w:numPr>
          <w:ilvl w:val="0"/>
          <w:numId w:val="37"/>
        </w:numPr>
        <w:spacing w:line="300" w:lineRule="atLeast"/>
        <w:rPr>
          <w:rFonts w:asciiTheme="minorHAnsi" w:hAnsiTheme="minorHAnsi" w:cstheme="minorHAnsi"/>
          <w:szCs w:val="22"/>
        </w:rPr>
      </w:pPr>
      <w:r w:rsidRPr="00391F56">
        <w:rPr>
          <w:rFonts w:asciiTheme="minorHAnsi" w:hAnsiTheme="minorHAnsi" w:cstheme="minorHAnsi"/>
          <w:szCs w:val="22"/>
        </w:rPr>
        <w:t>Present findings to DCDE</w:t>
      </w:r>
      <w:r w:rsidR="00391F56" w:rsidRPr="00391F56">
        <w:rPr>
          <w:rFonts w:asciiTheme="minorHAnsi" w:hAnsiTheme="minorHAnsi" w:cstheme="minorHAnsi"/>
          <w:color w:val="FF0000"/>
          <w:szCs w:val="22"/>
        </w:rPr>
        <w:t xml:space="preserve"> </w:t>
      </w:r>
      <w:r w:rsidR="00391F56" w:rsidRPr="000C7B84">
        <w:rPr>
          <w:rFonts w:asciiTheme="minorHAnsi" w:hAnsiTheme="minorHAnsi" w:cstheme="minorHAnsi"/>
          <w:szCs w:val="22"/>
        </w:rPr>
        <w:t>and other relevant stakeholders</w:t>
      </w:r>
      <w:r w:rsidR="000C7B84">
        <w:rPr>
          <w:rFonts w:asciiTheme="minorHAnsi" w:hAnsiTheme="minorHAnsi" w:cstheme="minorHAnsi"/>
          <w:szCs w:val="22"/>
        </w:rPr>
        <w:t>.</w:t>
      </w:r>
    </w:p>
    <w:p w14:paraId="079C8BBC" w14:textId="740B8A14" w:rsidR="00791EF7" w:rsidRPr="00391F56" w:rsidRDefault="00791EF7" w:rsidP="00791EF7">
      <w:pPr>
        <w:pStyle w:val="NormalWeb"/>
        <w:spacing w:line="300" w:lineRule="atLeast"/>
        <w:rPr>
          <w:rFonts w:asciiTheme="minorHAnsi" w:hAnsiTheme="minorHAnsi" w:cstheme="minorHAnsi"/>
          <w:color w:val="000000" w:themeColor="text1"/>
          <w:szCs w:val="22"/>
        </w:rPr>
      </w:pPr>
      <w:r w:rsidRPr="00391F56">
        <w:rPr>
          <w:rFonts w:asciiTheme="minorHAnsi" w:hAnsiTheme="minorHAnsi" w:cstheme="minorHAnsi"/>
          <w:szCs w:val="22"/>
        </w:rPr>
        <w:br/>
      </w:r>
      <w:r w:rsidRPr="00391F56">
        <w:rPr>
          <w:rFonts w:asciiTheme="minorHAnsi" w:hAnsiTheme="minorHAnsi" w:cstheme="minorHAnsi"/>
          <w:color w:val="000000" w:themeColor="text1"/>
          <w:szCs w:val="22"/>
        </w:rPr>
        <w:t xml:space="preserve">Practitioners </w:t>
      </w:r>
      <w:r w:rsidR="00391F56">
        <w:rPr>
          <w:rFonts w:asciiTheme="minorHAnsi" w:hAnsiTheme="minorHAnsi" w:cstheme="minorHAnsi"/>
          <w:color w:val="000000" w:themeColor="text1"/>
          <w:szCs w:val="22"/>
        </w:rPr>
        <w:t>may</w:t>
      </w:r>
      <w:r w:rsidRPr="00391F56">
        <w:rPr>
          <w:rFonts w:asciiTheme="minorHAnsi" w:hAnsiTheme="minorHAnsi" w:cstheme="minorHAnsi"/>
          <w:color w:val="000000" w:themeColor="text1"/>
          <w:szCs w:val="22"/>
        </w:rPr>
        <w:t xml:space="preserve"> include, but not be restricted to: </w:t>
      </w:r>
      <w:proofErr w:type="spellStart"/>
      <w:r w:rsidRPr="00391F56">
        <w:rPr>
          <w:rFonts w:asciiTheme="minorHAnsi" w:hAnsiTheme="minorHAnsi" w:cstheme="minorHAnsi"/>
          <w:color w:val="000000" w:themeColor="text1"/>
          <w:szCs w:val="22"/>
        </w:rPr>
        <w:t>Tusla</w:t>
      </w:r>
      <w:proofErr w:type="spellEnd"/>
      <w:r w:rsidRPr="00391F56">
        <w:rPr>
          <w:rFonts w:asciiTheme="minorHAnsi" w:hAnsiTheme="minorHAnsi" w:cstheme="minorHAnsi"/>
          <w:color w:val="000000" w:themeColor="text1"/>
          <w:szCs w:val="22"/>
        </w:rPr>
        <w:t xml:space="preserve">, HSE, NEPS, NCSE, Better Start, AIM, FRCs, CYPSC, foster carers, early learning and care practitioners, community &amp; voluntary sector organisation </w:t>
      </w:r>
      <w:proofErr w:type="spellStart"/>
      <w:r w:rsidRPr="00391F56">
        <w:rPr>
          <w:rFonts w:asciiTheme="minorHAnsi" w:hAnsiTheme="minorHAnsi" w:cstheme="minorHAnsi"/>
          <w:color w:val="000000" w:themeColor="text1"/>
          <w:szCs w:val="22"/>
        </w:rPr>
        <w:t>e.g</w:t>
      </w:r>
      <w:proofErr w:type="spellEnd"/>
      <w:r w:rsidRPr="00391F56">
        <w:rPr>
          <w:rFonts w:asciiTheme="minorHAnsi" w:hAnsiTheme="minorHAnsi" w:cstheme="minorHAnsi"/>
          <w:color w:val="000000" w:themeColor="text1"/>
          <w:szCs w:val="22"/>
        </w:rPr>
        <w:t xml:space="preserve"> Barnardos, </w:t>
      </w:r>
      <w:proofErr w:type="spellStart"/>
      <w:r w:rsidRPr="00391F56">
        <w:rPr>
          <w:rFonts w:asciiTheme="minorHAnsi" w:hAnsiTheme="minorHAnsi" w:cstheme="minorHAnsi"/>
          <w:color w:val="000000" w:themeColor="text1"/>
          <w:szCs w:val="22"/>
        </w:rPr>
        <w:t>Pavee</w:t>
      </w:r>
      <w:proofErr w:type="spellEnd"/>
      <w:r w:rsidRPr="00391F56">
        <w:rPr>
          <w:rFonts w:asciiTheme="minorHAnsi" w:hAnsiTheme="minorHAnsi" w:cstheme="minorHAnsi"/>
          <w:color w:val="000000" w:themeColor="text1"/>
          <w:szCs w:val="22"/>
        </w:rPr>
        <w:t xml:space="preserve"> Point, and others. </w:t>
      </w:r>
    </w:p>
    <w:p w14:paraId="1BA960F3" w14:textId="3DD79455" w:rsidR="00791EF7" w:rsidRPr="00391F56" w:rsidRDefault="00791EF7" w:rsidP="00791EF7">
      <w:pPr>
        <w:pStyle w:val="NormalWeb"/>
        <w:spacing w:line="300" w:lineRule="atLeast"/>
        <w:rPr>
          <w:rFonts w:asciiTheme="minorHAnsi" w:hAnsiTheme="minorHAnsi" w:cstheme="minorHAnsi"/>
          <w:szCs w:val="22"/>
        </w:rPr>
      </w:pPr>
      <w:r w:rsidRPr="00391F56">
        <w:rPr>
          <w:rFonts w:asciiTheme="minorHAnsi" w:hAnsiTheme="minorHAnsi" w:cstheme="minorHAnsi"/>
          <w:szCs w:val="22"/>
        </w:rPr>
        <w:t xml:space="preserve">Testing survey questions with </w:t>
      </w:r>
      <w:proofErr w:type="spellStart"/>
      <w:r w:rsidRPr="00391F56">
        <w:rPr>
          <w:rFonts w:asciiTheme="minorHAnsi" w:hAnsiTheme="minorHAnsi" w:cstheme="minorHAnsi"/>
          <w:szCs w:val="22"/>
        </w:rPr>
        <w:t>Tusla</w:t>
      </w:r>
      <w:proofErr w:type="spellEnd"/>
      <w:r w:rsidRPr="00391F56">
        <w:rPr>
          <w:rFonts w:asciiTheme="minorHAnsi" w:hAnsiTheme="minorHAnsi" w:cstheme="minorHAnsi"/>
          <w:szCs w:val="22"/>
        </w:rPr>
        <w:t xml:space="preserve"> Parents’ Fora </w:t>
      </w:r>
      <w:r w:rsidR="009F157A" w:rsidRPr="00391F56">
        <w:rPr>
          <w:rFonts w:asciiTheme="minorHAnsi" w:hAnsiTheme="minorHAnsi" w:cstheme="minorHAnsi"/>
          <w:szCs w:val="22"/>
        </w:rPr>
        <w:t xml:space="preserve">and a small group of practitioners, </w:t>
      </w:r>
      <w:r w:rsidRPr="00391F56">
        <w:rPr>
          <w:rFonts w:asciiTheme="minorHAnsi" w:hAnsiTheme="minorHAnsi" w:cstheme="minorHAnsi"/>
          <w:szCs w:val="22"/>
        </w:rPr>
        <w:t>is strongly advised to ensure relevance, sensitivity, and accessibility.</w:t>
      </w:r>
    </w:p>
    <w:p w14:paraId="4BF8FFDA" w14:textId="77777777" w:rsidR="00791EF7" w:rsidRDefault="00791EF7" w:rsidP="00791EF7">
      <w:pPr>
        <w:rPr>
          <w:b/>
          <w:bCs/>
          <w:lang w:val="en-IE"/>
        </w:rPr>
      </w:pPr>
      <w:r>
        <w:rPr>
          <w:b/>
          <w:bCs/>
          <w:lang w:val="en-IE"/>
        </w:rPr>
        <w:t>Ethical Approval Requirements</w:t>
      </w:r>
    </w:p>
    <w:p w14:paraId="2A7C232A" w14:textId="77777777" w:rsidR="00791EF7" w:rsidRPr="00364946" w:rsidRDefault="00791EF7" w:rsidP="00791EF7">
      <w:pPr>
        <w:rPr>
          <w:lang w:val="en-IE"/>
        </w:rPr>
      </w:pPr>
      <w:r w:rsidRPr="00364946">
        <w:rPr>
          <w:lang w:val="en-IE"/>
        </w:rPr>
        <w:t>Given that the Study involves parents of children with additional needs and practitioners working in statutory</w:t>
      </w:r>
      <w:r>
        <w:rPr>
          <w:lang w:val="en-IE"/>
        </w:rPr>
        <w:t xml:space="preserve"> and</w:t>
      </w:r>
      <w:r w:rsidRPr="00364946">
        <w:rPr>
          <w:lang w:val="en-IE"/>
        </w:rPr>
        <w:t xml:space="preserve"> community and voluntary settings, the Tenderer must ensure that the research complies with recognised ethical standards. </w:t>
      </w:r>
      <w:r>
        <w:rPr>
          <w:lang w:val="en-IE"/>
        </w:rPr>
        <w:t xml:space="preserve">The contract is subject to any required ethical approval.  </w:t>
      </w:r>
    </w:p>
    <w:p w14:paraId="775DDB58" w14:textId="66494CF0" w:rsidR="00791EF7" w:rsidRPr="00391F56" w:rsidRDefault="00791EF7" w:rsidP="00791EF7">
      <w:pPr>
        <w:rPr>
          <w:color w:val="FF0000"/>
          <w:lang w:val="en-IE"/>
        </w:rPr>
      </w:pPr>
      <w:r w:rsidRPr="00364946">
        <w:rPr>
          <w:lang w:val="en-IE"/>
        </w:rPr>
        <w:t>Evidence of an ethics approval plan, including timelines, must be included in the proposal</w:t>
      </w:r>
      <w:r w:rsidR="000C7B84">
        <w:rPr>
          <w:color w:val="FF0000"/>
          <w:lang w:val="en-IE"/>
        </w:rPr>
        <w:t>.</w:t>
      </w:r>
    </w:p>
    <w:p w14:paraId="66B4BE0C" w14:textId="77777777" w:rsidR="00791EF7" w:rsidRDefault="00791EF7" w:rsidP="00791EF7">
      <w:pPr>
        <w:rPr>
          <w:b/>
          <w:bCs/>
          <w:lang w:val="en-IE"/>
        </w:rPr>
      </w:pPr>
      <w:r>
        <w:rPr>
          <w:b/>
          <w:bCs/>
          <w:lang w:val="en-IE"/>
        </w:rPr>
        <w:t>2.3 Deliverables and Final Outputs</w:t>
      </w:r>
    </w:p>
    <w:p w14:paraId="3EEBAE99" w14:textId="77777777" w:rsidR="00791EF7" w:rsidRPr="00364946" w:rsidRDefault="00791EF7" w:rsidP="00791EF7">
      <w:pPr>
        <w:rPr>
          <w:b/>
          <w:bCs/>
        </w:rPr>
      </w:pPr>
      <w:r w:rsidRPr="00364946">
        <w:rPr>
          <w:b/>
          <w:bCs/>
        </w:rPr>
        <w:t>2.3.1 Final Report Requirements</w:t>
      </w:r>
    </w:p>
    <w:p w14:paraId="7295EE0F" w14:textId="77777777" w:rsidR="00791EF7" w:rsidRDefault="00791EF7" w:rsidP="007D2866">
      <w:pPr>
        <w:pStyle w:val="ListParagraph"/>
        <w:numPr>
          <w:ilvl w:val="0"/>
          <w:numId w:val="39"/>
        </w:numPr>
      </w:pPr>
      <w:r w:rsidRPr="00364946">
        <w:t xml:space="preserve">Literature Review on the effectiveness of informational advice and non-therapeutic supports for parents of children with additional needs, and parental and practitioner perception of this type of support. </w:t>
      </w:r>
    </w:p>
    <w:p w14:paraId="7CDAA46A" w14:textId="6097CCA7" w:rsidR="00791EF7" w:rsidRDefault="00791EF7" w:rsidP="007D2866">
      <w:pPr>
        <w:pStyle w:val="ListParagraph"/>
        <w:numPr>
          <w:ilvl w:val="0"/>
          <w:numId w:val="39"/>
        </w:numPr>
      </w:pPr>
      <w:r>
        <w:lastRenderedPageBreak/>
        <w:t xml:space="preserve">For Phase 1 and 2, inclusive, </w:t>
      </w:r>
      <w:r w:rsidRPr="00364946">
        <w:t xml:space="preserve">30-40 report (guide length), Executive Summary, </w:t>
      </w:r>
      <w:proofErr w:type="spellStart"/>
      <w:r w:rsidRPr="00364946">
        <w:t>Powerpoint</w:t>
      </w:r>
      <w:proofErr w:type="spellEnd"/>
      <w:r w:rsidRPr="00364946">
        <w:t xml:space="preserve"> Presentation, Case Studies (illustrating the journey of a parent in accessing supports for their child).</w:t>
      </w:r>
    </w:p>
    <w:p w14:paraId="6AE27728" w14:textId="77777777" w:rsidR="00791EF7" w:rsidRPr="00364946" w:rsidRDefault="00791EF7" w:rsidP="00791EF7">
      <w:pPr>
        <w:rPr>
          <w:b/>
          <w:bCs/>
          <w:lang w:val="en-IE"/>
        </w:rPr>
      </w:pPr>
      <w:r w:rsidRPr="00364946">
        <w:rPr>
          <w:b/>
          <w:bCs/>
          <w:lang w:val="en-IE"/>
        </w:rPr>
        <w:t>2.3.2 Inclusion of Recommendations</w:t>
      </w:r>
    </w:p>
    <w:p w14:paraId="5C123997" w14:textId="77777777" w:rsidR="00791EF7" w:rsidRPr="00364946" w:rsidRDefault="00791EF7" w:rsidP="00791EF7">
      <w:pPr>
        <w:rPr>
          <w:lang w:val="en-IE"/>
        </w:rPr>
      </w:pPr>
      <w:r w:rsidRPr="00364946">
        <w:rPr>
          <w:lang w:val="en-IE"/>
        </w:rPr>
        <w:t xml:space="preserve">The Department does </w:t>
      </w:r>
      <w:r w:rsidRPr="009F157A">
        <w:rPr>
          <w:lang w:val="en-IE"/>
        </w:rPr>
        <w:t>not</w:t>
      </w:r>
      <w:r w:rsidRPr="00364946">
        <w:rPr>
          <w:lang w:val="en-IE"/>
        </w:rPr>
        <w:t xml:space="preserve"> require recommendations as part of this study. The Final Report should focus on presenting findings, insights and patterns emerging from the data. Where relevant, the report may highlight areas for further exploration, but it should not make explicit policy recommendations.</w:t>
      </w:r>
    </w:p>
    <w:p w14:paraId="12616BA9" w14:textId="5FE05C30" w:rsidR="00DB0D06" w:rsidRPr="00DB0D06" w:rsidRDefault="00DB0D06" w:rsidP="00DB0D06">
      <w:pPr>
        <w:rPr>
          <w:b/>
          <w:lang w:val="en-IE"/>
        </w:rPr>
      </w:pPr>
      <w:r w:rsidRPr="00DB0D06">
        <w:rPr>
          <w:b/>
          <w:lang w:val="en-IE"/>
        </w:rPr>
        <w:t>2.</w:t>
      </w:r>
      <w:r w:rsidR="00364946">
        <w:rPr>
          <w:b/>
          <w:lang w:val="en-IE"/>
        </w:rPr>
        <w:t>4</w:t>
      </w:r>
      <w:r w:rsidRPr="00DB0D06">
        <w:rPr>
          <w:b/>
          <w:lang w:val="en-IE"/>
        </w:rPr>
        <w:t xml:space="preserve"> Experience, Expertise and Skills of Research Team</w:t>
      </w:r>
    </w:p>
    <w:p w14:paraId="258103B4" w14:textId="77777777" w:rsidR="00817F60" w:rsidRPr="00817F60" w:rsidRDefault="00817F60" w:rsidP="00817F60">
      <w:pPr>
        <w:rPr>
          <w:lang w:val="en-IE"/>
        </w:rPr>
      </w:pPr>
      <w:r w:rsidRPr="00817F60">
        <w:rPr>
          <w:lang w:val="en-IE"/>
        </w:rPr>
        <w:t>Tenderers should demonstrate that they meet the requirements set out in this section and that the proposed research team possesses the subject</w:t>
      </w:r>
      <w:r w:rsidRPr="00817F60">
        <w:rPr>
          <w:lang w:val="en-IE"/>
        </w:rPr>
        <w:noBreakHyphen/>
        <w:t>matter expertise, methodological competence, and operational capacity necessary to deliver a high</w:t>
      </w:r>
      <w:r w:rsidRPr="00817F60">
        <w:rPr>
          <w:lang w:val="en-IE"/>
        </w:rPr>
        <w:noBreakHyphen/>
        <w:t>quality study on the needs of parents of children with additional needs and the practitioners who support them. The research design considerations and objectives outlined in Section 2.1 and 2.2 require a team with strong qualitative and quantitative experience, knowledge of disability and family</w:t>
      </w:r>
      <w:r w:rsidRPr="00817F60">
        <w:rPr>
          <w:lang w:val="en-IE"/>
        </w:rPr>
        <w:noBreakHyphen/>
        <w:t>support systems, and experience working with diverse practitioner groups.</w:t>
      </w:r>
    </w:p>
    <w:p w14:paraId="57335121" w14:textId="7A82EB8C" w:rsidR="00DB0D06" w:rsidRPr="00DB0D06" w:rsidRDefault="00DB0D06" w:rsidP="00DB0D06">
      <w:pPr>
        <w:rPr>
          <w:b/>
          <w:iCs/>
          <w:lang w:val="en-IE"/>
        </w:rPr>
      </w:pPr>
      <w:r w:rsidRPr="00DB0D06">
        <w:rPr>
          <w:b/>
          <w:iCs/>
          <w:lang w:val="en-IE"/>
        </w:rPr>
        <w:t>2.</w:t>
      </w:r>
      <w:r w:rsidR="00364946">
        <w:rPr>
          <w:b/>
          <w:iCs/>
          <w:lang w:val="en-IE"/>
        </w:rPr>
        <w:t>4</w:t>
      </w:r>
      <w:r w:rsidRPr="00DB0D06">
        <w:rPr>
          <w:b/>
          <w:iCs/>
          <w:lang w:val="en-IE"/>
        </w:rPr>
        <w:t xml:space="preserve">.1 Demonstrating the experience, expertise and skills of all team members </w:t>
      </w:r>
    </w:p>
    <w:p w14:paraId="10E47E68" w14:textId="77777777" w:rsidR="00817F60" w:rsidRPr="00817F60" w:rsidRDefault="00817F60" w:rsidP="00817F60">
      <w:pPr>
        <w:rPr>
          <w:lang w:val="en-IE"/>
        </w:rPr>
      </w:pPr>
      <w:r w:rsidRPr="00817F60">
        <w:rPr>
          <w:lang w:val="en-IE"/>
        </w:rPr>
        <w:t xml:space="preserve">Tenderers must outline the experience and qualifications of the proposed key personnel who will be assigned to this Study. Given the scope of the research — including national surveys with parents and practitioners, the development of validated research instruments, and engagement with stakeholder groups across </w:t>
      </w:r>
      <w:proofErr w:type="spellStart"/>
      <w:r w:rsidRPr="00817F60">
        <w:rPr>
          <w:lang w:val="en-IE"/>
        </w:rPr>
        <w:t>Tusla</w:t>
      </w:r>
      <w:proofErr w:type="spellEnd"/>
      <w:r w:rsidRPr="00817F60">
        <w:rPr>
          <w:lang w:val="en-IE"/>
        </w:rPr>
        <w:t>, HSE, CYPSC, NEPS, NCSE, early years practitioners, Better Start/AIM, and community organisations — the team must collectively demonstrate:</w:t>
      </w:r>
    </w:p>
    <w:p w14:paraId="28D224D7" w14:textId="77777777" w:rsidR="00817F60" w:rsidRPr="00817F60" w:rsidRDefault="00817F60" w:rsidP="00817F60">
      <w:pPr>
        <w:numPr>
          <w:ilvl w:val="0"/>
          <w:numId w:val="29"/>
        </w:numPr>
        <w:rPr>
          <w:lang w:val="en-IE"/>
        </w:rPr>
      </w:pPr>
      <w:r w:rsidRPr="00817F60">
        <w:rPr>
          <w:lang w:val="en-IE"/>
        </w:rPr>
        <w:t xml:space="preserve">Expertise in designing and conducting social research involving parents and/or families of children with additional </w:t>
      </w:r>
      <w:proofErr w:type="gramStart"/>
      <w:r w:rsidRPr="00817F60">
        <w:rPr>
          <w:lang w:val="en-IE"/>
        </w:rPr>
        <w:t>needs;</w:t>
      </w:r>
      <w:proofErr w:type="gramEnd"/>
    </w:p>
    <w:p w14:paraId="20DC0368" w14:textId="77777777" w:rsidR="00817F60" w:rsidRPr="00817F60" w:rsidRDefault="00817F60" w:rsidP="00817F60">
      <w:pPr>
        <w:numPr>
          <w:ilvl w:val="0"/>
          <w:numId w:val="29"/>
        </w:numPr>
        <w:rPr>
          <w:lang w:val="en-IE"/>
        </w:rPr>
      </w:pPr>
      <w:r w:rsidRPr="00817F60">
        <w:rPr>
          <w:lang w:val="en-IE"/>
        </w:rPr>
        <w:t xml:space="preserve">Proven experience working with or researching practitioner groups across statutory, community, and voluntary </w:t>
      </w:r>
      <w:proofErr w:type="gramStart"/>
      <w:r w:rsidRPr="00817F60">
        <w:rPr>
          <w:lang w:val="en-IE"/>
        </w:rPr>
        <w:t>sectors;</w:t>
      </w:r>
      <w:proofErr w:type="gramEnd"/>
    </w:p>
    <w:p w14:paraId="337B6235" w14:textId="77777777" w:rsidR="00817F60" w:rsidRPr="00817F60" w:rsidRDefault="00817F60" w:rsidP="00817F60">
      <w:pPr>
        <w:numPr>
          <w:ilvl w:val="0"/>
          <w:numId w:val="29"/>
        </w:numPr>
        <w:rPr>
          <w:lang w:val="en-IE"/>
        </w:rPr>
      </w:pPr>
      <w:r w:rsidRPr="00817F60">
        <w:rPr>
          <w:lang w:val="en-IE"/>
        </w:rPr>
        <w:t>Experience in developing and administering national surveys and analysing large</w:t>
      </w:r>
      <w:r w:rsidRPr="00817F60">
        <w:rPr>
          <w:lang w:val="en-IE"/>
        </w:rPr>
        <w:noBreakHyphen/>
        <w:t xml:space="preserve">scale qualitative and quantitative </w:t>
      </w:r>
      <w:proofErr w:type="gramStart"/>
      <w:r w:rsidRPr="00817F60">
        <w:rPr>
          <w:lang w:val="en-IE"/>
        </w:rPr>
        <w:t>datasets;</w:t>
      </w:r>
      <w:proofErr w:type="gramEnd"/>
    </w:p>
    <w:p w14:paraId="1F73524A" w14:textId="77777777" w:rsidR="00817F60" w:rsidRPr="00817F60" w:rsidRDefault="00817F60" w:rsidP="00817F60">
      <w:pPr>
        <w:numPr>
          <w:ilvl w:val="0"/>
          <w:numId w:val="29"/>
        </w:numPr>
        <w:rPr>
          <w:lang w:val="en-IE"/>
        </w:rPr>
      </w:pPr>
      <w:r w:rsidRPr="00817F60">
        <w:rPr>
          <w:lang w:val="en-IE"/>
        </w:rPr>
        <w:t xml:space="preserve">Sensitivity to the needs and lived experiences of parents of children with additional needs, including the ability to test tools with parent fora to ensure clarity and </w:t>
      </w:r>
      <w:proofErr w:type="gramStart"/>
      <w:r w:rsidRPr="00817F60">
        <w:rPr>
          <w:lang w:val="en-IE"/>
        </w:rPr>
        <w:t>relevance;</w:t>
      </w:r>
      <w:proofErr w:type="gramEnd"/>
    </w:p>
    <w:p w14:paraId="26289BDA" w14:textId="77777777" w:rsidR="00817F60" w:rsidRPr="00817F60" w:rsidRDefault="00817F60" w:rsidP="00817F60">
      <w:pPr>
        <w:numPr>
          <w:ilvl w:val="0"/>
          <w:numId w:val="29"/>
        </w:numPr>
        <w:rPr>
          <w:lang w:val="en-IE"/>
        </w:rPr>
      </w:pPr>
      <w:r w:rsidRPr="00817F60">
        <w:rPr>
          <w:lang w:val="en-IE"/>
        </w:rPr>
        <w:t>Experience in coordinating multi</w:t>
      </w:r>
      <w:r w:rsidRPr="00817F60">
        <w:rPr>
          <w:lang w:val="en-IE"/>
        </w:rPr>
        <w:noBreakHyphen/>
        <w:t>agency or multi</w:t>
      </w:r>
      <w:r w:rsidRPr="00817F60">
        <w:rPr>
          <w:lang w:val="en-IE"/>
        </w:rPr>
        <w:noBreakHyphen/>
        <w:t>stakeholder consultations.</w:t>
      </w:r>
    </w:p>
    <w:p w14:paraId="6F20AC49" w14:textId="77777777" w:rsidR="00817F60" w:rsidRPr="00391F56" w:rsidRDefault="00817F60" w:rsidP="00817F60">
      <w:pPr>
        <w:spacing w:after="0" w:line="300" w:lineRule="atLeast"/>
        <w:rPr>
          <w:rFonts w:asciiTheme="minorHAnsi" w:hAnsiTheme="minorHAnsi" w:cstheme="minorHAnsi"/>
          <w:szCs w:val="22"/>
          <w:lang w:val="en-IE" w:eastAsia="en-IE"/>
        </w:rPr>
      </w:pPr>
      <w:r w:rsidRPr="00391F56">
        <w:rPr>
          <w:rFonts w:asciiTheme="minorHAnsi" w:hAnsiTheme="minorHAnsi" w:cstheme="minorHAnsi"/>
          <w:szCs w:val="22"/>
          <w:lang w:val="en-IE" w:eastAsia="en-IE"/>
        </w:rPr>
        <w:t>Tenderers are encouraged to consider multidisciplinary or cross</w:t>
      </w:r>
      <w:r w:rsidRPr="00391F56">
        <w:rPr>
          <w:rFonts w:asciiTheme="minorHAnsi" w:hAnsiTheme="minorHAnsi" w:cstheme="minorHAnsi"/>
          <w:szCs w:val="22"/>
          <w:lang w:val="en-IE" w:eastAsia="en-IE"/>
        </w:rPr>
        <w:noBreakHyphen/>
        <w:t>institutional collaboration to strengthen the Study’s expertise base, particularly where specialist experience may enhance qualitative engagement with parent cohorts or large practitioner networks.</w:t>
      </w:r>
    </w:p>
    <w:p w14:paraId="1547CA4A" w14:textId="77777777" w:rsidR="00DB0D06" w:rsidRPr="00391F56" w:rsidRDefault="00DB0D06" w:rsidP="00DB0D06">
      <w:pPr>
        <w:rPr>
          <w:rFonts w:asciiTheme="minorHAnsi" w:hAnsiTheme="minorHAnsi" w:cstheme="minorHAnsi"/>
          <w:szCs w:val="22"/>
          <w:lang w:val="en-IE"/>
        </w:rPr>
      </w:pPr>
    </w:p>
    <w:p w14:paraId="7E28441B" w14:textId="2E68EFC5" w:rsidR="00DB0D06" w:rsidRPr="00DB0D06" w:rsidRDefault="00DB0D06" w:rsidP="00DB0D06">
      <w:pPr>
        <w:rPr>
          <w:b/>
          <w:iCs/>
          <w:lang w:val="en-IE"/>
        </w:rPr>
      </w:pPr>
      <w:r w:rsidRPr="00DB0D06">
        <w:rPr>
          <w:b/>
          <w:iCs/>
          <w:lang w:val="en-IE"/>
        </w:rPr>
        <w:t>2.</w:t>
      </w:r>
      <w:r w:rsidR="00364946">
        <w:rPr>
          <w:b/>
          <w:iCs/>
          <w:lang w:val="en-IE"/>
        </w:rPr>
        <w:t>4</w:t>
      </w:r>
      <w:r w:rsidRPr="00DB0D06">
        <w:rPr>
          <w:b/>
          <w:iCs/>
          <w:lang w:val="en-IE"/>
        </w:rPr>
        <w:t>.2 Principal Investigator – Responsibilities and Requirements</w:t>
      </w:r>
    </w:p>
    <w:p w14:paraId="1F1A3878" w14:textId="251972A6" w:rsidR="00817F60" w:rsidRPr="00817F60" w:rsidRDefault="003262A2" w:rsidP="00817F60">
      <w:pPr>
        <w:rPr>
          <w:lang w:val="en-IE"/>
        </w:rPr>
      </w:pPr>
      <w:r w:rsidRPr="000C7B84">
        <w:rPr>
          <w:lang w:val="en-IE"/>
        </w:rPr>
        <w:t>A</w:t>
      </w:r>
      <w:r w:rsidR="00817F60" w:rsidRPr="000C7B84">
        <w:rPr>
          <w:lang w:val="en-IE"/>
        </w:rPr>
        <w:t xml:space="preserve"> Principal Investigator (PI)</w:t>
      </w:r>
      <w:r w:rsidRPr="000C7B84">
        <w:rPr>
          <w:lang w:val="en-IE"/>
        </w:rPr>
        <w:t xml:space="preserve"> must be identified for this work and</w:t>
      </w:r>
      <w:r w:rsidR="00817F60" w:rsidRPr="000C7B84">
        <w:rPr>
          <w:lang w:val="en-IE"/>
        </w:rPr>
        <w:t xml:space="preserve"> </w:t>
      </w:r>
      <w:r w:rsidR="00817F60" w:rsidRPr="00817F60">
        <w:rPr>
          <w:lang w:val="en-IE"/>
        </w:rPr>
        <w:t>will be responsible for overall study design, quality assurance, adherence to ethical and data</w:t>
      </w:r>
      <w:r w:rsidR="00817F60" w:rsidRPr="00817F60">
        <w:rPr>
          <w:lang w:val="en-IE"/>
        </w:rPr>
        <w:noBreakHyphen/>
        <w:t>protection standards, and the production of high</w:t>
      </w:r>
      <w:r w:rsidR="00817F60" w:rsidRPr="00817F60">
        <w:rPr>
          <w:lang w:val="en-IE"/>
        </w:rPr>
        <w:noBreakHyphen/>
        <w:t>quality outputs aligned with the Department’s requirements.</w:t>
      </w:r>
    </w:p>
    <w:p w14:paraId="4BF520C5" w14:textId="77777777" w:rsidR="00817F60" w:rsidRPr="00817F60" w:rsidRDefault="00817F60" w:rsidP="00817F60">
      <w:pPr>
        <w:rPr>
          <w:lang w:val="en-IE"/>
        </w:rPr>
      </w:pPr>
      <w:r w:rsidRPr="00817F60">
        <w:rPr>
          <w:lang w:val="en-IE"/>
        </w:rPr>
        <w:t xml:space="preserve">The PI should hold a senior qualification in social science, social policy, psychology, education, disability studies or a closely related discipline, with substantial experience conducting applied </w:t>
      </w:r>
      <w:r w:rsidRPr="00817F60">
        <w:rPr>
          <w:lang w:val="en-IE"/>
        </w:rPr>
        <w:lastRenderedPageBreak/>
        <w:t>research with families or practitioners supporting children with additional needs. While the uploaded documents do not specify qualification levels, the PI must demonstrate:</w:t>
      </w:r>
    </w:p>
    <w:p w14:paraId="15F702DB" w14:textId="77777777" w:rsidR="00817F60" w:rsidRPr="00817F60" w:rsidRDefault="00817F60" w:rsidP="00817F60">
      <w:pPr>
        <w:numPr>
          <w:ilvl w:val="0"/>
          <w:numId w:val="30"/>
        </w:numPr>
        <w:rPr>
          <w:lang w:val="en-IE"/>
        </w:rPr>
      </w:pPr>
      <w:r w:rsidRPr="00817F60">
        <w:rPr>
          <w:lang w:val="en-IE"/>
        </w:rPr>
        <w:t>Extensive experience conducting national</w:t>
      </w:r>
      <w:r w:rsidRPr="00817F60">
        <w:rPr>
          <w:lang w:val="en-IE"/>
        </w:rPr>
        <w:noBreakHyphen/>
        <w:t>level or large</w:t>
      </w:r>
      <w:r w:rsidRPr="00817F60">
        <w:rPr>
          <w:lang w:val="en-IE"/>
        </w:rPr>
        <w:noBreakHyphen/>
        <w:t>scale mixed</w:t>
      </w:r>
      <w:r w:rsidRPr="00817F60">
        <w:rPr>
          <w:lang w:val="en-IE"/>
        </w:rPr>
        <w:noBreakHyphen/>
        <w:t xml:space="preserve">methods </w:t>
      </w:r>
      <w:proofErr w:type="gramStart"/>
      <w:r w:rsidRPr="00817F60">
        <w:rPr>
          <w:lang w:val="en-IE"/>
        </w:rPr>
        <w:t>studies;</w:t>
      </w:r>
      <w:proofErr w:type="gramEnd"/>
    </w:p>
    <w:p w14:paraId="40354481" w14:textId="77777777" w:rsidR="00817F60" w:rsidRPr="00817F60" w:rsidRDefault="00817F60" w:rsidP="00817F60">
      <w:pPr>
        <w:numPr>
          <w:ilvl w:val="0"/>
          <w:numId w:val="30"/>
        </w:numPr>
        <w:rPr>
          <w:lang w:val="en-IE"/>
        </w:rPr>
      </w:pPr>
      <w:r w:rsidRPr="00817F60">
        <w:rPr>
          <w:lang w:val="en-IE"/>
        </w:rPr>
        <w:t xml:space="preserve">Expertise in research relating to disability, special educational needs, early intervention, or family </w:t>
      </w:r>
      <w:proofErr w:type="gramStart"/>
      <w:r w:rsidRPr="00817F60">
        <w:rPr>
          <w:lang w:val="en-IE"/>
        </w:rPr>
        <w:t>support;</w:t>
      </w:r>
      <w:proofErr w:type="gramEnd"/>
    </w:p>
    <w:p w14:paraId="5691E480" w14:textId="77777777" w:rsidR="00817F60" w:rsidRPr="00817F60" w:rsidRDefault="00817F60" w:rsidP="00817F60">
      <w:pPr>
        <w:numPr>
          <w:ilvl w:val="0"/>
          <w:numId w:val="30"/>
        </w:numPr>
        <w:rPr>
          <w:lang w:val="en-IE"/>
        </w:rPr>
      </w:pPr>
      <w:r w:rsidRPr="00817F60">
        <w:rPr>
          <w:lang w:val="en-IE"/>
        </w:rPr>
        <w:t>Experience working with or researching statutory and community</w:t>
      </w:r>
      <w:r w:rsidRPr="00817F60">
        <w:rPr>
          <w:lang w:val="en-IE"/>
        </w:rPr>
        <w:noBreakHyphen/>
        <w:t xml:space="preserve">based services such as </w:t>
      </w:r>
      <w:proofErr w:type="spellStart"/>
      <w:r w:rsidRPr="00817F60">
        <w:rPr>
          <w:lang w:val="en-IE"/>
        </w:rPr>
        <w:t>Tusla</w:t>
      </w:r>
      <w:proofErr w:type="spellEnd"/>
      <w:r w:rsidRPr="00817F60">
        <w:rPr>
          <w:lang w:val="en-IE"/>
        </w:rPr>
        <w:t xml:space="preserve">, HSE, CYPSC, NCSE, NEPS, Better Start/AIM and others identified in stakeholder </w:t>
      </w:r>
      <w:proofErr w:type="gramStart"/>
      <w:r w:rsidRPr="00817F60">
        <w:rPr>
          <w:lang w:val="en-IE"/>
        </w:rPr>
        <w:t>lists;</w:t>
      </w:r>
      <w:proofErr w:type="gramEnd"/>
    </w:p>
    <w:p w14:paraId="35F7E1F6" w14:textId="077918E7" w:rsidR="00817F60" w:rsidRPr="00817F60" w:rsidRDefault="00817F60" w:rsidP="00817F60">
      <w:pPr>
        <w:numPr>
          <w:ilvl w:val="0"/>
          <w:numId w:val="30"/>
        </w:numPr>
        <w:rPr>
          <w:lang w:val="en-IE"/>
        </w:rPr>
      </w:pPr>
      <w:r w:rsidRPr="00817F60">
        <w:rPr>
          <w:lang w:val="en-IE"/>
        </w:rPr>
        <w:t xml:space="preserve">Experience in producing reports intended to inform national policy and practice. </w:t>
      </w:r>
    </w:p>
    <w:p w14:paraId="01A45D95" w14:textId="113C0327" w:rsidR="00817F60" w:rsidRPr="00817F60" w:rsidRDefault="00817F60" w:rsidP="00817F60">
      <w:pPr>
        <w:rPr>
          <w:lang w:val="en-IE"/>
        </w:rPr>
      </w:pPr>
      <w:r w:rsidRPr="00817F60">
        <w:rPr>
          <w:lang w:val="en-IE"/>
        </w:rPr>
        <w:t>The PI is expected to oversee the development of research tools, ensure that survey questions reflect parent and practitioner realities, and maintain quality throughout all deliverables.</w:t>
      </w:r>
      <w:r w:rsidR="003262A2">
        <w:rPr>
          <w:lang w:val="en-IE"/>
        </w:rPr>
        <w:t xml:space="preserve"> </w:t>
      </w:r>
    </w:p>
    <w:p w14:paraId="45EAA3D2" w14:textId="77777777" w:rsidR="00DB0D06" w:rsidRPr="00DB0D06" w:rsidRDefault="00DB0D06" w:rsidP="00DB0D06">
      <w:pPr>
        <w:rPr>
          <w:lang w:val="en-IE"/>
        </w:rPr>
      </w:pPr>
    </w:p>
    <w:p w14:paraId="559B7F76" w14:textId="34EC5EF3" w:rsidR="00DB0D06" w:rsidRPr="00DB0D06" w:rsidRDefault="00DB0D06" w:rsidP="00DB0D06">
      <w:pPr>
        <w:rPr>
          <w:b/>
          <w:iCs/>
          <w:lang w:val="en-IE"/>
        </w:rPr>
      </w:pPr>
      <w:r w:rsidRPr="00DB0D06">
        <w:rPr>
          <w:b/>
          <w:iCs/>
          <w:lang w:val="en-IE"/>
        </w:rPr>
        <w:t>2.</w:t>
      </w:r>
      <w:r w:rsidR="00364946">
        <w:rPr>
          <w:b/>
          <w:iCs/>
          <w:lang w:val="en-IE"/>
        </w:rPr>
        <w:t>4</w:t>
      </w:r>
      <w:r w:rsidRPr="00DB0D06">
        <w:rPr>
          <w:b/>
          <w:iCs/>
          <w:lang w:val="en-IE"/>
        </w:rPr>
        <w:t>.3 Team members conducting analyses: Responsibilities and requirements</w:t>
      </w:r>
    </w:p>
    <w:p w14:paraId="4975B958" w14:textId="5C500D84" w:rsidR="00DB0D06" w:rsidRDefault="00DB0D06" w:rsidP="00DB0D06">
      <w:pPr>
        <w:rPr>
          <w:lang w:val="en-IE"/>
        </w:rPr>
      </w:pPr>
      <w:r w:rsidRPr="00DB0D06">
        <w:rPr>
          <w:lang w:val="en-IE"/>
        </w:rPr>
        <w:t xml:space="preserve">Team members responsible for analytical tasks must hold at least a QQI Level 8 qualification in a social science/social policy-research discipline or related discipline. They </w:t>
      </w:r>
      <w:r w:rsidR="003262A2" w:rsidRPr="000C7B84">
        <w:rPr>
          <w:lang w:val="en-IE"/>
        </w:rPr>
        <w:t xml:space="preserve">should </w:t>
      </w:r>
      <w:r w:rsidRPr="00DB0D06">
        <w:rPr>
          <w:lang w:val="en-IE"/>
        </w:rPr>
        <w:t>have a minimum of 18 months research experience. Consideration may be given to proposals where the team member does not hold a Level 8 qualification only</w:t>
      </w:r>
      <w:r w:rsidRPr="00DB0D06">
        <w:rPr>
          <w:b/>
          <w:lang w:val="en-IE"/>
        </w:rPr>
        <w:t xml:space="preserve"> </w:t>
      </w:r>
      <w:r w:rsidRPr="00DB0D06">
        <w:rPr>
          <w:lang w:val="en-IE"/>
        </w:rPr>
        <w:t>where he/she can provide substantive evidence of at minimum 18 months experiential learning and expertise (e.g. membership of professional organisations; demonstration of continuous professional development; peer-reviewed academic journal articles; specification of roles and responsibilities in European or other international, competitively funded projects and involvement in outputs of same).</w:t>
      </w:r>
    </w:p>
    <w:p w14:paraId="7B064E53" w14:textId="77777777" w:rsidR="00817F60" w:rsidRPr="00817F60" w:rsidRDefault="00817F60" w:rsidP="00817F60">
      <w:pPr>
        <w:rPr>
          <w:lang w:val="en-IE"/>
        </w:rPr>
      </w:pPr>
      <w:r w:rsidRPr="00817F60">
        <w:rPr>
          <w:lang w:val="en-IE"/>
        </w:rPr>
        <w:t>Team members responsible for analytical tasks must demonstrate experience in:</w:t>
      </w:r>
    </w:p>
    <w:p w14:paraId="3BF7BC2A" w14:textId="77777777" w:rsidR="00817F60" w:rsidRPr="00817F60" w:rsidRDefault="00817F60" w:rsidP="00817F60">
      <w:pPr>
        <w:numPr>
          <w:ilvl w:val="0"/>
          <w:numId w:val="31"/>
        </w:numPr>
        <w:rPr>
          <w:lang w:val="en-IE"/>
        </w:rPr>
      </w:pPr>
      <w:r w:rsidRPr="00817F60">
        <w:rPr>
          <w:lang w:val="en-IE"/>
        </w:rPr>
        <w:t xml:space="preserve">Survey design, administration and statistical </w:t>
      </w:r>
      <w:proofErr w:type="gramStart"/>
      <w:r w:rsidRPr="00817F60">
        <w:rPr>
          <w:lang w:val="en-IE"/>
        </w:rPr>
        <w:t>analysis;</w:t>
      </w:r>
      <w:proofErr w:type="gramEnd"/>
    </w:p>
    <w:p w14:paraId="29FA7465" w14:textId="77777777" w:rsidR="00817F60" w:rsidRPr="00817F60" w:rsidRDefault="00817F60" w:rsidP="00817F60">
      <w:pPr>
        <w:numPr>
          <w:ilvl w:val="0"/>
          <w:numId w:val="31"/>
        </w:numPr>
        <w:rPr>
          <w:lang w:val="en-IE"/>
        </w:rPr>
      </w:pPr>
      <w:r w:rsidRPr="00817F60">
        <w:rPr>
          <w:lang w:val="en-IE"/>
        </w:rPr>
        <w:t xml:space="preserve">Qualitative data collection and analysis, including interviews, focus groups, and thematic </w:t>
      </w:r>
      <w:proofErr w:type="gramStart"/>
      <w:r w:rsidRPr="00817F60">
        <w:rPr>
          <w:lang w:val="en-IE"/>
        </w:rPr>
        <w:t>coding;</w:t>
      </w:r>
      <w:proofErr w:type="gramEnd"/>
    </w:p>
    <w:p w14:paraId="08501811" w14:textId="77777777" w:rsidR="00817F60" w:rsidRPr="00817F60" w:rsidRDefault="00817F60" w:rsidP="00817F60">
      <w:pPr>
        <w:numPr>
          <w:ilvl w:val="0"/>
          <w:numId w:val="31"/>
        </w:numPr>
        <w:rPr>
          <w:lang w:val="en-IE"/>
        </w:rPr>
      </w:pPr>
      <w:r w:rsidRPr="00817F60">
        <w:rPr>
          <w:lang w:val="en-IE"/>
        </w:rPr>
        <w:t xml:space="preserve">Working with diverse family cohorts or with practitioners across social, health, education, early learning and community </w:t>
      </w:r>
      <w:proofErr w:type="gramStart"/>
      <w:r w:rsidRPr="00817F60">
        <w:rPr>
          <w:lang w:val="en-IE"/>
        </w:rPr>
        <w:t>sectors;</w:t>
      </w:r>
      <w:proofErr w:type="gramEnd"/>
    </w:p>
    <w:p w14:paraId="03B801B2" w14:textId="77777777" w:rsidR="00817F60" w:rsidRPr="00817F60" w:rsidRDefault="00817F60" w:rsidP="00817F60">
      <w:pPr>
        <w:numPr>
          <w:ilvl w:val="0"/>
          <w:numId w:val="31"/>
        </w:numPr>
        <w:rPr>
          <w:lang w:val="en-IE"/>
        </w:rPr>
      </w:pPr>
      <w:r w:rsidRPr="00817F60">
        <w:rPr>
          <w:lang w:val="en-IE"/>
        </w:rPr>
        <w:t>Synthesising findings across multiple stakeholder groups to produce policy</w:t>
      </w:r>
      <w:r w:rsidRPr="00817F60">
        <w:rPr>
          <w:lang w:val="en-IE"/>
        </w:rPr>
        <w:noBreakHyphen/>
        <w:t>relevant insights.</w:t>
      </w:r>
    </w:p>
    <w:p w14:paraId="22273DDE" w14:textId="77777777" w:rsidR="00817F60" w:rsidRPr="003262A2" w:rsidRDefault="00817F60" w:rsidP="00817F60">
      <w:pPr>
        <w:spacing w:after="0" w:line="300" w:lineRule="atLeast"/>
        <w:rPr>
          <w:rFonts w:asciiTheme="minorHAnsi" w:hAnsiTheme="minorHAnsi" w:cstheme="minorHAnsi"/>
          <w:szCs w:val="22"/>
          <w:lang w:val="en-IE" w:eastAsia="en-IE"/>
        </w:rPr>
      </w:pPr>
      <w:r w:rsidRPr="003262A2">
        <w:rPr>
          <w:rFonts w:asciiTheme="minorHAnsi" w:hAnsiTheme="minorHAnsi" w:cstheme="minorHAnsi"/>
          <w:szCs w:val="22"/>
          <w:lang w:val="en-IE" w:eastAsia="en-IE"/>
        </w:rPr>
        <w:t>Given the Study’s emphasis on lived experience and practitioner practice, analytical staff should have a background in social research methodologies and experience generating findings that can inform policy, service design or national frameworks.</w:t>
      </w:r>
    </w:p>
    <w:p w14:paraId="445438E3" w14:textId="77777777" w:rsidR="00DB0D06" w:rsidRPr="003262A2" w:rsidRDefault="00DB0D06" w:rsidP="00DB0D06">
      <w:pPr>
        <w:rPr>
          <w:rFonts w:asciiTheme="minorHAnsi" w:hAnsiTheme="minorHAnsi" w:cstheme="minorHAnsi"/>
          <w:szCs w:val="22"/>
          <w:lang w:val="en-IE"/>
        </w:rPr>
      </w:pPr>
    </w:p>
    <w:p w14:paraId="6E174716" w14:textId="6C013440" w:rsidR="00DB0D06" w:rsidRPr="00DB0D06" w:rsidRDefault="00DB0D06" w:rsidP="00DB0D06">
      <w:pPr>
        <w:rPr>
          <w:b/>
          <w:iCs/>
          <w:lang w:val="en-IE"/>
        </w:rPr>
      </w:pPr>
      <w:r w:rsidRPr="00DB0D06">
        <w:rPr>
          <w:b/>
          <w:iCs/>
          <w:lang w:val="en-IE"/>
        </w:rPr>
        <w:t>2.</w:t>
      </w:r>
      <w:r w:rsidR="00364946">
        <w:rPr>
          <w:b/>
          <w:iCs/>
          <w:lang w:val="en-IE"/>
        </w:rPr>
        <w:t>4</w:t>
      </w:r>
      <w:r w:rsidRPr="00DB0D06">
        <w:rPr>
          <w:b/>
          <w:iCs/>
          <w:lang w:val="en-IE"/>
        </w:rPr>
        <w:t>.4 Replacement of Team members</w:t>
      </w:r>
    </w:p>
    <w:p w14:paraId="77F96A93" w14:textId="4E80219A" w:rsidR="00221984" w:rsidRDefault="00DB0D06" w:rsidP="00221984">
      <w:pPr>
        <w:rPr>
          <w:lang w:val="en-IE"/>
        </w:rPr>
      </w:pPr>
      <w:r w:rsidRPr="00DB0D06">
        <w:rPr>
          <w:lang w:val="en-IE"/>
        </w:rPr>
        <w:t>Tenderers must give a guarantee that any replacement, during the course of the contract, will be at least of equal experience, expertise and with an equivalent skill set. Any such replacement will be agreed, in advance, with the Department in writing.</w:t>
      </w:r>
    </w:p>
    <w:p w14:paraId="472E797E" w14:textId="30D3F58E" w:rsidR="00221984" w:rsidRPr="00221984" w:rsidRDefault="00221984" w:rsidP="00221984">
      <w:pPr>
        <w:rPr>
          <w:b/>
          <w:bCs/>
          <w:lang w:val="en-IE"/>
        </w:rPr>
      </w:pPr>
      <w:r w:rsidRPr="00221984">
        <w:rPr>
          <w:b/>
          <w:bCs/>
          <w:lang w:val="en-IE"/>
        </w:rPr>
        <w:t>Artificial intelligence-enabled tools</w:t>
      </w:r>
    </w:p>
    <w:p w14:paraId="18F54C57" w14:textId="4BC45CF1" w:rsidR="00221984" w:rsidRPr="00221984" w:rsidRDefault="00221984" w:rsidP="00221984">
      <w:pPr>
        <w:rPr>
          <w:lang w:val="en-IE"/>
        </w:rPr>
      </w:pPr>
      <w:r w:rsidRPr="00221984">
        <w:rPr>
          <w:lang w:val="en-IE"/>
        </w:rPr>
        <w:t xml:space="preserve">All use of artificial intelligence-enabled tools or systems in the performance of the research, analysis and associated services should comply with National Cyber Security Centre (NCSC) guidance, the Regulation of Artificial Intelligence Bill 2026 and any relevant Department cyber security requirements. All findings, conclusions, and the final report/analysis in this work should be verified </w:t>
      </w:r>
      <w:r w:rsidRPr="00221984">
        <w:rPr>
          <w:lang w:val="en-IE"/>
        </w:rPr>
        <w:lastRenderedPageBreak/>
        <w:t>by a human, and all personal data will be handled in accordance with relevant data protection requirements.</w:t>
      </w:r>
    </w:p>
    <w:p w14:paraId="59104DD5" w14:textId="6186BB98" w:rsidR="00221984" w:rsidRPr="00221984" w:rsidRDefault="00221984" w:rsidP="00221984">
      <w:pPr>
        <w:rPr>
          <w:b/>
          <w:bCs/>
          <w:lang w:val="en-IE"/>
        </w:rPr>
      </w:pPr>
      <w:r w:rsidRPr="00221984">
        <w:rPr>
          <w:b/>
          <w:bCs/>
          <w:lang w:val="en-IE"/>
        </w:rPr>
        <w:t>Research Ethics Committee</w:t>
      </w:r>
    </w:p>
    <w:p w14:paraId="157E5EDB" w14:textId="4ACDED2A" w:rsidR="00221984" w:rsidRPr="00221984" w:rsidRDefault="00221984" w:rsidP="00221984">
      <w:pPr>
        <w:rPr>
          <w:lang w:val="en-IE"/>
        </w:rPr>
      </w:pPr>
      <w:r w:rsidRPr="00221984">
        <w:rPr>
          <w:lang w:val="en-IE"/>
        </w:rPr>
        <w:t>The Department does not have and cannot facilitate access to a Research Ethics Committee. If approval from a Research Ethics Committee is required for your submitted proposal, you must indicate how and from where this approval will be sought, including an estimated timeline of this approval process.</w:t>
      </w:r>
    </w:p>
    <w:p w14:paraId="68D09CE5" w14:textId="2B3A14A5" w:rsidR="00221984" w:rsidRPr="00291AF7" w:rsidRDefault="00291AF7" w:rsidP="00CC7906">
      <w:pPr>
        <w:rPr>
          <w:b/>
          <w:bCs/>
        </w:rPr>
      </w:pPr>
      <w:r w:rsidRPr="00291AF7">
        <w:rPr>
          <w:b/>
          <w:bCs/>
        </w:rPr>
        <w:t>Accessibility of the report</w:t>
      </w:r>
    </w:p>
    <w:p w14:paraId="291956DF" w14:textId="3B992D06" w:rsidR="00291AF7" w:rsidRDefault="00291AF7" w:rsidP="00CC7906">
      <w:pPr>
        <w:sectPr w:rsidR="00291AF7" w:rsidSect="00926F67">
          <w:type w:val="continuous"/>
          <w:pgSz w:w="11907" w:h="16840" w:code="9"/>
          <w:pgMar w:top="1134" w:right="1418" w:bottom="851" w:left="1418" w:header="709" w:footer="709" w:gutter="0"/>
          <w:cols w:space="708"/>
          <w:formProt w:val="0"/>
          <w:docGrid w:linePitch="360"/>
        </w:sectPr>
      </w:pPr>
      <w:r>
        <w:t xml:space="preserve">We would appreciate if the report writer would consider the Written Communication guidance from the National Disability Authority in their </w:t>
      </w:r>
      <w:hyperlink r:id="rId22" w:anchor="Written_Communication" w:history="1">
        <w:r w:rsidRPr="00291AF7">
          <w:rPr>
            <w:rStyle w:val="Hyperlink"/>
          </w:rPr>
          <w:t>Customer Communications Toolkit for Services to the Public - A Universal Design Approach - Centre for Excellence in Universal Design</w:t>
        </w:r>
      </w:hyperlink>
      <w:r>
        <w:t>, in terms of the accessibility of the report.</w:t>
      </w: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howingPlcHdr/>
      </w:sdtPr>
      <w:sdtEndPr>
        <w:rPr>
          <w:color w:val="auto"/>
        </w:rPr>
      </w:sdtEndPr>
      <w:sdtContent>
        <w:p w14:paraId="3CFF4575" w14:textId="10D2D57A" w:rsidR="003C0FB1" w:rsidRPr="00310EDC" w:rsidRDefault="00114C2B" w:rsidP="00CC7906">
          <w:r w:rsidRPr="00DC0160">
            <w:rPr>
              <w:rStyle w:val="PlaceholderText"/>
            </w:rPr>
            <w:t>Click here to enter text.</w:t>
          </w:r>
        </w:p>
      </w:sdtContent>
    </w:sdt>
    <w:p w14:paraId="07429FF6" w14:textId="77777777" w:rsidR="000C3941" w:rsidRDefault="000C3941" w:rsidP="000C3941">
      <w:pPr>
        <w:rPr>
          <w:lang w:val="en-IE"/>
        </w:rPr>
      </w:pPr>
    </w:p>
    <w:p w14:paraId="013F97FC" w14:textId="1ECF06BF" w:rsidR="000C3941" w:rsidRDefault="000C3941" w:rsidP="000C3941">
      <w:pPr>
        <w:rPr>
          <w:lang w:val="en-IE"/>
        </w:rPr>
      </w:pPr>
      <w:r>
        <w:rPr>
          <w:lang w:val="en-IE"/>
        </w:rPr>
        <w:t>T</w:t>
      </w:r>
      <w:r w:rsidRPr="004A6B1F">
        <w:rPr>
          <w:lang w:val="en-IE"/>
        </w:rPr>
        <w:t xml:space="preserve">able for suppliers to fill out based on their daily rate. </w:t>
      </w:r>
    </w:p>
    <w:tbl>
      <w:tblPr>
        <w:tblW w:w="0" w:type="auto"/>
        <w:tblCellMar>
          <w:left w:w="0" w:type="dxa"/>
          <w:right w:w="0" w:type="dxa"/>
        </w:tblCellMar>
        <w:tblLook w:val="04A0" w:firstRow="1" w:lastRow="0" w:firstColumn="1" w:lastColumn="0" w:noHBand="0" w:noVBand="1"/>
      </w:tblPr>
      <w:tblGrid>
        <w:gridCol w:w="1500"/>
        <w:gridCol w:w="2601"/>
        <w:gridCol w:w="1418"/>
        <w:gridCol w:w="1842"/>
        <w:gridCol w:w="1645"/>
      </w:tblGrid>
      <w:tr w:rsidR="000C3941" w:rsidRPr="008B30A2" w14:paraId="474FEAB8" w14:textId="77777777" w:rsidTr="00387F48">
        <w:trPr>
          <w:trHeight w:val="1732"/>
        </w:trPr>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E424F" w14:textId="77777777" w:rsidR="000C3941" w:rsidRPr="008B30A2" w:rsidRDefault="000C3941" w:rsidP="00CA3FDA">
            <w:pPr>
              <w:rPr>
                <w:b/>
                <w:bCs/>
              </w:rPr>
            </w:pPr>
            <w:r w:rsidRPr="008B30A2">
              <w:rPr>
                <w:b/>
                <w:bCs/>
              </w:rPr>
              <w:t>Name</w:t>
            </w:r>
          </w:p>
        </w:tc>
        <w:tc>
          <w:tcPr>
            <w:tcW w:w="2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2A930" w14:textId="77777777" w:rsidR="000C3941" w:rsidRPr="008B30A2" w:rsidRDefault="000C3941" w:rsidP="00CA3FDA">
            <w:pPr>
              <w:rPr>
                <w:b/>
                <w:bCs/>
              </w:rPr>
            </w:pPr>
            <w:r w:rsidRPr="008B30A2">
              <w:rPr>
                <w:b/>
                <w:bCs/>
              </w:rPr>
              <w:t>Proposed Role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18423" w14:textId="77777777" w:rsidR="000C3941" w:rsidRPr="008B30A2" w:rsidRDefault="000C3941" w:rsidP="00CA3FDA">
            <w:pPr>
              <w:rPr>
                <w:b/>
                <w:bCs/>
              </w:rPr>
            </w:pPr>
            <w:r w:rsidRPr="008B30A2">
              <w:rPr>
                <w:b/>
                <w:bCs/>
              </w:rPr>
              <w:t xml:space="preserve">(A) No. of Days Input  </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6E332" w14:textId="77777777" w:rsidR="000C3941" w:rsidRPr="008B30A2" w:rsidRDefault="000C3941" w:rsidP="00CA3FDA">
            <w:pPr>
              <w:rPr>
                <w:b/>
                <w:bCs/>
              </w:rPr>
            </w:pPr>
            <w:r w:rsidRPr="008B30A2">
              <w:rPr>
                <w:b/>
                <w:bCs/>
              </w:rPr>
              <w:t xml:space="preserve">(B) Daily Rate  </w:t>
            </w:r>
          </w:p>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6BCA6" w14:textId="77777777" w:rsidR="000C3941" w:rsidRPr="008B30A2" w:rsidRDefault="000C3941" w:rsidP="00CA3FDA">
            <w:pPr>
              <w:rPr>
                <w:b/>
                <w:bCs/>
              </w:rPr>
            </w:pPr>
            <w:r w:rsidRPr="008B30A2">
              <w:rPr>
                <w:b/>
                <w:bCs/>
              </w:rPr>
              <w:t xml:space="preserve">(C) Total Cost per </w:t>
            </w:r>
            <w:r>
              <w:rPr>
                <w:b/>
                <w:bCs/>
              </w:rPr>
              <w:t>Team Member</w:t>
            </w:r>
            <w:r w:rsidRPr="008B30A2">
              <w:rPr>
                <w:b/>
                <w:bCs/>
              </w:rPr>
              <w:t xml:space="preserve"> (A) multiplied by (B)</w:t>
            </w:r>
          </w:p>
        </w:tc>
      </w:tr>
      <w:tr w:rsidR="000C3941" w:rsidRPr="008B30A2" w14:paraId="5D2FF953" w14:textId="77777777" w:rsidTr="00387F48">
        <w:tc>
          <w:tcPr>
            <w:tcW w:w="1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C7A72" w14:textId="77777777" w:rsidR="000C3941" w:rsidRPr="008B30A2" w:rsidRDefault="000C3941" w:rsidP="00CA3FDA">
            <w:r w:rsidRPr="008B30A2">
              <w:t>Insert rows as required.</w:t>
            </w:r>
          </w:p>
        </w:tc>
        <w:tc>
          <w:tcPr>
            <w:tcW w:w="2601" w:type="dxa"/>
            <w:tcBorders>
              <w:top w:val="nil"/>
              <w:left w:val="nil"/>
              <w:bottom w:val="single" w:sz="8" w:space="0" w:color="auto"/>
              <w:right w:val="single" w:sz="8" w:space="0" w:color="auto"/>
            </w:tcBorders>
            <w:tcMar>
              <w:top w:w="0" w:type="dxa"/>
              <w:left w:w="108" w:type="dxa"/>
              <w:bottom w:w="0" w:type="dxa"/>
              <w:right w:w="108" w:type="dxa"/>
            </w:tcMar>
          </w:tcPr>
          <w:p w14:paraId="0E224CF2" w14:textId="77777777" w:rsidR="000C3941" w:rsidRPr="008B30A2" w:rsidRDefault="000C3941" w:rsidP="00CA3FDA"/>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4EE981C" w14:textId="77777777" w:rsidR="000C3941" w:rsidRPr="008B30A2" w:rsidRDefault="000C3941" w:rsidP="00CA3FDA"/>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604E4CDA" w14:textId="77777777" w:rsidR="000C3941" w:rsidRPr="008B30A2" w:rsidRDefault="000C3941" w:rsidP="00CA3FDA"/>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72981" w14:textId="77777777" w:rsidR="000C3941" w:rsidRPr="008B30A2" w:rsidRDefault="000C3941" w:rsidP="00CA3FDA"/>
        </w:tc>
      </w:tr>
      <w:tr w:rsidR="000C3941" w:rsidRPr="008B30A2" w14:paraId="7D126393" w14:textId="77777777" w:rsidTr="00387F48">
        <w:tc>
          <w:tcPr>
            <w:tcW w:w="41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CDF97" w14:textId="77777777" w:rsidR="000C3941" w:rsidRPr="008B30A2" w:rsidRDefault="000C3941" w:rsidP="00CA3FDA">
            <w:pPr>
              <w:rPr>
                <w:b/>
                <w:bCs/>
              </w:rPr>
            </w:pPr>
            <w:r w:rsidRPr="008B30A2">
              <w:rPr>
                <w:b/>
                <w:bCs/>
              </w:rPr>
              <w:t>Tota</w:t>
            </w:r>
            <w:r>
              <w:rPr>
                <w:b/>
                <w:bCs/>
              </w:rPr>
              <w:t>l</w:t>
            </w:r>
          </w:p>
        </w:tc>
        <w:tc>
          <w:tcPr>
            <w:tcW w:w="1418" w:type="dxa"/>
            <w:tcBorders>
              <w:top w:val="nil"/>
              <w:left w:val="single" w:sz="8" w:space="0" w:color="auto"/>
              <w:bottom w:val="single" w:sz="8" w:space="0" w:color="auto"/>
              <w:right w:val="single" w:sz="8" w:space="0" w:color="auto"/>
            </w:tcBorders>
          </w:tcPr>
          <w:p w14:paraId="159A4FB1" w14:textId="77777777" w:rsidR="000C3941" w:rsidRPr="008B30A2" w:rsidRDefault="000C3941" w:rsidP="00CA3FDA"/>
        </w:tc>
        <w:tc>
          <w:tcPr>
            <w:tcW w:w="1842" w:type="dxa"/>
            <w:tcBorders>
              <w:top w:val="nil"/>
              <w:left w:val="single" w:sz="8" w:space="0" w:color="auto"/>
              <w:bottom w:val="single" w:sz="8" w:space="0" w:color="auto"/>
              <w:right w:val="single" w:sz="8" w:space="0" w:color="auto"/>
            </w:tcBorders>
          </w:tcPr>
          <w:p w14:paraId="5BEFF6BE" w14:textId="77777777" w:rsidR="000C3941" w:rsidRPr="008B30A2" w:rsidRDefault="000C3941" w:rsidP="00CA3FDA"/>
        </w:tc>
        <w:tc>
          <w:tcPr>
            <w:tcW w:w="1645" w:type="dxa"/>
            <w:tcBorders>
              <w:top w:val="nil"/>
              <w:left w:val="nil"/>
              <w:bottom w:val="single" w:sz="8" w:space="0" w:color="auto"/>
              <w:right w:val="single" w:sz="8" w:space="0" w:color="auto"/>
            </w:tcBorders>
            <w:tcMar>
              <w:top w:w="0" w:type="dxa"/>
              <w:left w:w="108" w:type="dxa"/>
              <w:bottom w:w="0" w:type="dxa"/>
              <w:right w:w="108" w:type="dxa"/>
            </w:tcMar>
          </w:tcPr>
          <w:p w14:paraId="1FD9AEC4" w14:textId="77777777" w:rsidR="000C3941" w:rsidRPr="008B30A2" w:rsidRDefault="000C3941" w:rsidP="00CA3FDA"/>
        </w:tc>
      </w:tr>
      <w:tr w:rsidR="000C3941" w:rsidRPr="008B30A2" w14:paraId="3FC1EFAA" w14:textId="77777777" w:rsidTr="00387F48">
        <w:tc>
          <w:tcPr>
            <w:tcW w:w="736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FE74" w14:textId="77777777" w:rsidR="000C3941" w:rsidRPr="008B30A2" w:rsidRDefault="000C3941" w:rsidP="00CA3FDA">
            <w:pPr>
              <w:rPr>
                <w:b/>
                <w:bCs/>
              </w:rPr>
            </w:pPr>
            <w:r w:rsidRPr="008B30A2">
              <w:rPr>
                <w:b/>
                <w:bCs/>
              </w:rPr>
              <w:t>Total Fixed Project Fee for the term of the Contract excluding VAT</w:t>
            </w:r>
          </w:p>
        </w:tc>
        <w:tc>
          <w:tcPr>
            <w:tcW w:w="1645"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4D689250" w14:textId="237C21BE" w:rsidR="000C3941" w:rsidRPr="008B30A2" w:rsidRDefault="00387F48" w:rsidP="00CA3FDA">
            <w:r>
              <w:t>**</w:t>
            </w:r>
          </w:p>
        </w:tc>
      </w:tr>
    </w:tbl>
    <w:p w14:paraId="0A9937CC" w14:textId="77777777" w:rsidR="000C3941" w:rsidRDefault="000C3941" w:rsidP="00CC7906"/>
    <w:p w14:paraId="37A90B91" w14:textId="3DDE50DB" w:rsidR="00387F48" w:rsidRPr="00961ACA" w:rsidRDefault="00961ACA" w:rsidP="00961ACA">
      <w:pPr>
        <w:jc w:val="center"/>
        <w:rPr>
          <w:b/>
          <w:bCs/>
        </w:rPr>
      </w:pPr>
      <w:r w:rsidRPr="00961ACA">
        <w:rPr>
          <w:b/>
          <w:bCs/>
        </w:rPr>
        <w:t xml:space="preserve">** - This cost (“Total Fixed </w:t>
      </w:r>
      <w:r w:rsidR="008B4BD4">
        <w:rPr>
          <w:b/>
          <w:bCs/>
        </w:rPr>
        <w:t>P</w:t>
      </w:r>
      <w:r w:rsidRPr="00961ACA">
        <w:rPr>
          <w:b/>
          <w:bCs/>
        </w:rPr>
        <w:t>roject Fee…”) will go forward for assessment of marks for cost.</w:t>
      </w:r>
    </w:p>
    <w:p w14:paraId="59E56989" w14:textId="77777777" w:rsidR="00961ACA" w:rsidRDefault="00961ACA" w:rsidP="00CC7906"/>
    <w:p w14:paraId="640A8EBC" w14:textId="2A05CD97" w:rsidR="004A6B1F" w:rsidRPr="000C3941" w:rsidRDefault="000C3941" w:rsidP="004A6B1F">
      <w:pPr>
        <w:rPr>
          <w:b/>
          <w:bCs/>
          <w:color w:val="000000" w:themeColor="text1"/>
          <w:lang w:val="en-IE"/>
        </w:rPr>
      </w:pPr>
      <w:r w:rsidRPr="000C3941">
        <w:rPr>
          <w:b/>
          <w:bCs/>
          <w:color w:val="000000" w:themeColor="text1"/>
          <w:lang w:val="en-IE"/>
        </w:rPr>
        <w:t>S</w:t>
      </w:r>
      <w:r w:rsidR="004A6B1F" w:rsidRPr="000C3941">
        <w:rPr>
          <w:b/>
          <w:bCs/>
          <w:color w:val="000000" w:themeColor="text1"/>
          <w:lang w:val="en-IE"/>
        </w:rPr>
        <w:t xml:space="preserve">chedule of </w:t>
      </w:r>
      <w:r w:rsidRPr="000C3941">
        <w:rPr>
          <w:b/>
          <w:bCs/>
          <w:color w:val="000000" w:themeColor="text1"/>
          <w:lang w:val="en-IE"/>
        </w:rPr>
        <w:t>P</w:t>
      </w:r>
      <w:r w:rsidR="004A6B1F" w:rsidRPr="000C3941">
        <w:rPr>
          <w:b/>
          <w:bCs/>
          <w:color w:val="000000" w:themeColor="text1"/>
          <w:lang w:val="en-IE"/>
        </w:rPr>
        <w:t xml:space="preserve">ayments. </w:t>
      </w:r>
    </w:p>
    <w:p w14:paraId="118C5729" w14:textId="07E562B8" w:rsidR="004A6B1F" w:rsidRDefault="00F25207" w:rsidP="004A6B1F">
      <w:pPr>
        <w:rPr>
          <w:lang w:val="en-IE"/>
        </w:rPr>
      </w:pPr>
      <w:r>
        <w:rPr>
          <w:lang w:val="en-IE"/>
        </w:rPr>
        <w:t>20</w:t>
      </w:r>
      <w:r w:rsidR="004A6B1F">
        <w:rPr>
          <w:lang w:val="en-IE"/>
        </w:rPr>
        <w:t>% on delivery of Literature Review</w:t>
      </w:r>
    </w:p>
    <w:p w14:paraId="2F3013AE" w14:textId="75CCB4E3" w:rsidR="004A6B1F" w:rsidRDefault="00F25207" w:rsidP="004A6B1F">
      <w:pPr>
        <w:rPr>
          <w:lang w:val="en-IE"/>
        </w:rPr>
      </w:pPr>
      <w:r>
        <w:rPr>
          <w:lang w:val="en-IE"/>
        </w:rPr>
        <w:t>20</w:t>
      </w:r>
      <w:r w:rsidR="004A6B1F">
        <w:rPr>
          <w:lang w:val="en-IE"/>
        </w:rPr>
        <w:t xml:space="preserve">% on completion of survey </w:t>
      </w:r>
    </w:p>
    <w:p w14:paraId="2900D55A" w14:textId="4527C133" w:rsidR="004A6B1F" w:rsidRDefault="00F25207" w:rsidP="004A6B1F">
      <w:pPr>
        <w:rPr>
          <w:lang w:val="en-IE"/>
        </w:rPr>
      </w:pPr>
      <w:r>
        <w:rPr>
          <w:lang w:val="en-IE"/>
        </w:rPr>
        <w:t>20</w:t>
      </w:r>
      <w:r w:rsidR="004A6B1F">
        <w:rPr>
          <w:lang w:val="en-IE"/>
        </w:rPr>
        <w:t>% on completion of focus Groups</w:t>
      </w:r>
    </w:p>
    <w:p w14:paraId="4478956A" w14:textId="1E5DD608" w:rsidR="004A6B1F" w:rsidRDefault="00F25207" w:rsidP="004A6B1F">
      <w:pPr>
        <w:rPr>
          <w:lang w:val="en-IE"/>
        </w:rPr>
      </w:pPr>
      <w:r>
        <w:rPr>
          <w:lang w:val="en-IE"/>
        </w:rPr>
        <w:t>40</w:t>
      </w:r>
      <w:r w:rsidR="004A6B1F">
        <w:rPr>
          <w:lang w:val="en-IE"/>
        </w:rPr>
        <w:t>% on delivery of final report</w:t>
      </w:r>
    </w:p>
    <w:p w14:paraId="08FF7902" w14:textId="77777777" w:rsidR="003C0FB1" w:rsidRDefault="003C0FB1" w:rsidP="00CC7906">
      <w:pPr>
        <w:numPr>
          <w:ilvl w:val="0"/>
          <w:numId w:val="34"/>
        </w:num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303034ED"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A23EF9">
            <w:rPr>
              <w:highlight w:val="lightGray"/>
            </w:rPr>
            <w:t xml:space="preserve">The Department of Children, Disability &amp; Equality </w:t>
          </w:r>
        </w:sdtContent>
      </w:sdt>
      <w:r w:rsidR="003F3EE7">
        <w:t xml:space="preserve"> </w:t>
      </w:r>
      <w:r w:rsidR="003F3EE7" w:rsidRPr="00CC568F">
        <w:t>(the “Contracting Authority”)</w:t>
      </w:r>
    </w:p>
    <w:p w14:paraId="46FC351B" w14:textId="78507FDC"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0835B0">
            <w:rPr>
              <w:szCs w:val="22"/>
              <w:highlight w:val="lightGray"/>
            </w:rPr>
            <w:t xml:space="preserve">quantitative &amp; qualitative research to identify the most helpful, non-therapeutic parenting supports for parents of children, with additional needs &amp; the practitioners who support them </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3F6A67CA"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A23EF9">
            <w:rPr>
              <w:highlight w:val="lightGray"/>
            </w:rPr>
            <w:t xml:space="preserve">The Department of Children, Disability &amp; Equality </w:t>
          </w:r>
        </w:sdtContent>
      </w:sdt>
      <w:r>
        <w:t xml:space="preserve"> </w:t>
      </w:r>
      <w:r w:rsidRPr="00CC568F">
        <w:t>(the “Contracting Authority”)</w:t>
      </w:r>
    </w:p>
    <w:p w14:paraId="1D1A8B25" w14:textId="379A1076"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0835B0">
            <w:rPr>
              <w:szCs w:val="22"/>
              <w:highlight w:val="lightGray"/>
            </w:rPr>
            <w:t xml:space="preserve">quantitative &amp; qualitative research to identify the most helpful, non-therapeutic parenting supports for parents of children, with additional needs &amp; the practitioners who support them </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 xml:space="preserve">Sections 3.1 and 3.2 (above) </w:t>
      </w:r>
      <w:proofErr w:type="gramStart"/>
      <w:r>
        <w:t>and;</w:t>
      </w:r>
      <w:proofErr w:type="gramEnd"/>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 xml:space="preserve">construction </w:t>
      </w:r>
      <w:proofErr w:type="gramStart"/>
      <w:r>
        <w:t>method;</w:t>
      </w:r>
      <w:proofErr w:type="gramEnd"/>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r>
      <w:proofErr w:type="gramStart"/>
      <w:r>
        <w:t>work;</w:t>
      </w:r>
      <w:proofErr w:type="gramEnd"/>
      <w:r>
        <w:t xml:space="preserve"> </w:t>
      </w:r>
    </w:p>
    <w:p w14:paraId="66AD5714" w14:textId="77777777" w:rsidR="00662F78" w:rsidRDefault="00662F78" w:rsidP="00662F78">
      <w:r>
        <w:tab/>
        <w:t xml:space="preserve">4.2.3. </w:t>
      </w:r>
      <w:r>
        <w:tab/>
        <w:t xml:space="preserve">The originality of the work, supplies or services proposed by the </w:t>
      </w:r>
      <w:proofErr w:type="gramStart"/>
      <w:r>
        <w:t>tenderer;</w:t>
      </w:r>
      <w:proofErr w:type="gramEnd"/>
      <w:r>
        <w:t xml:space="preserve">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w:t>
      </w:r>
      <w:proofErr w:type="gramStart"/>
      <w:r>
        <w:t>law;</w:t>
      </w:r>
      <w:proofErr w:type="gramEnd"/>
      <w:r>
        <w:t xml:space="preserve">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636C748A"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0835B0">
            <w:rPr>
              <w:szCs w:val="22"/>
              <w:highlight w:val="lightGray"/>
            </w:rPr>
            <w:t xml:space="preserve">quantitative &amp; qualitative research to identify the most helpful, non-therapeutic parenting supports for parents of children, with additional needs &amp; the practitioners who support them </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aware of any conflict of interest due to its participation in the </w:t>
      </w:r>
      <w:proofErr w:type="gramStart"/>
      <w:r w:rsidRPr="00C80436">
        <w:rPr>
          <w:lang w:val="en-US"/>
        </w:rPr>
        <w:t>Competition;</w:t>
      </w:r>
      <w:proofErr w:type="gramEnd"/>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had any prior involvement in the preparation of the </w:t>
      </w:r>
      <w:proofErr w:type="gramStart"/>
      <w:r w:rsidRPr="00C80436">
        <w:rPr>
          <w:lang w:val="en-US"/>
        </w:rPr>
        <w:t>Competition;</w:t>
      </w:r>
      <w:proofErr w:type="gramEnd"/>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does not come within the category of prohibited economic operators identified in Regulation (EU) No 833/2014 of 31 July 2014 (as amended by EU Regulation 2022/576 or any subsequent amendments to same</w:t>
      </w:r>
      <w:proofErr w:type="gramStart"/>
      <w:r w:rsidRPr="00C80436">
        <w:rPr>
          <w:lang w:val="en-US"/>
        </w:rPr>
        <w:t>);</w:t>
      </w:r>
      <w:proofErr w:type="gramEnd"/>
      <w:r w:rsidRPr="00C80436">
        <w:rPr>
          <w:lang w:val="en-US"/>
        </w:rPr>
        <w:t xml:space="preserv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roofErr w:type="gramStart"/>
      <w:r>
        <w:rPr>
          <w:lang w:val="en-US"/>
        </w:rPr>
        <w:t>);</w:t>
      </w:r>
      <w:proofErr w:type="gramEnd"/>
      <w:r>
        <w:rPr>
          <w:lang w:val="en-US"/>
        </w:rPr>
        <w:t xml:space="preserv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73F82153" w:rsidR="003C0FB1" w:rsidRPr="00CB5B77" w:rsidRDefault="006D46F7"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A23EF9">
            <w:rPr>
              <w:highlight w:val="lightGray"/>
            </w:rPr>
            <w:t xml:space="preserve">The Department of Children, Disability &amp; Equality </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227E29CD"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0835B0">
            <w:rPr>
              <w:szCs w:val="22"/>
              <w:highlight w:val="lightGray"/>
            </w:rPr>
            <w:t xml:space="preserve">quantitative &amp; qualitative research to identify the most helpful, non-therapeutic parenting supports for parents of children, with additional needs &amp; the practitioners who support them </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775FB15E" w:rsidR="003C0FB1" w:rsidRDefault="006D46F7"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A23EF9">
            <w:rPr>
              <w:highlight w:val="lightGray"/>
            </w:rPr>
            <w:t xml:space="preserve">The Department of Children, Disability &amp; Equality </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64594" w:rsidRPr="00364594">
        <w:rPr>
          <w:noProof/>
        </w:rPr>
        <w:t>Block 1, Miesian Plaza, 50 – 58 Lower Baggot Street, Dublin 2, D02 XW</w:t>
      </w:r>
      <w:r w:rsidR="00364594">
        <w:rPr>
          <w:noProof/>
        </w:rPr>
        <w:t>14</w:t>
      </w:r>
      <w:r w:rsidR="003C0FB1" w:rsidRPr="000E5DB7">
        <w:fldChar w:fldCharType="end"/>
      </w:r>
      <w:bookmarkEnd w:id="21"/>
      <w:r w:rsidR="003C0FB1" w:rsidRPr="000E5DB7">
        <w:t xml:space="preserve"> (“the Client”</w:t>
      </w:r>
      <w:proofErr w:type="gramStart"/>
      <w:r w:rsidR="003C0FB1" w:rsidRPr="000E5DB7">
        <w:t>);</w:t>
      </w:r>
      <w:proofErr w:type="gramEnd"/>
      <w:r w:rsidR="003C0FB1" w:rsidRPr="000E5DB7">
        <w:t xml:space="preserve"> </w:t>
      </w:r>
    </w:p>
    <w:p w14:paraId="6AA4B3A2" w14:textId="77777777" w:rsidR="003C0FB1" w:rsidRDefault="003C0FB1" w:rsidP="003C0FB1">
      <w:pPr>
        <w:spacing w:after="200"/>
        <w:jc w:val="both"/>
      </w:pPr>
      <w:r w:rsidRPr="000E5DB7">
        <w:t>and</w:t>
      </w:r>
    </w:p>
    <w:p w14:paraId="4B8C4CB4" w14:textId="77777777" w:rsidR="003C0FB1" w:rsidRDefault="006D46F7"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31D4CA49"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w:t>
                </w:r>
                <w:sdt>
                  <w:sdtPr>
                    <w:rPr>
                      <w:szCs w:val="22"/>
                    </w:rPr>
                    <w:alias w:val="Type of Services"/>
                    <w:tag w:val="Type of Services"/>
                    <w:id w:val="-1585599959"/>
                    <w:placeholder>
                      <w:docPart w:val="75092A72A9AE4A609061ACF42F9496B4"/>
                    </w:placeholder>
                    <w:dataBinding w:prefixMappings="xmlns:ns0='http://schemas.microsoft.com/office/2006/coverPageProps' " w:xpath="/ns0:CoverPageProperties[1]/ns0:CompanyFax[1]" w:storeItemID="{55AF091B-3C7A-41E3-B477-F2FDAA23CFDA}"/>
                    <w:text/>
                  </w:sdtPr>
                  <w:sdtEndPr/>
                  <w:sdtContent>
                    <w:r w:rsidR="000835B0">
                      <w:rPr>
                        <w:szCs w:val="22"/>
                      </w:rPr>
                      <w:t xml:space="preserve">quantitative &amp; qualitative research to identify the most helpful, non-therapeutic parenting supports for parents of children, with additional needs &amp; the practitioners who support them </w:t>
                    </w:r>
                  </w:sdtContent>
                </w:sdt>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3"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208E5DB1" w14:textId="1455D024"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00462C2F">
                  <w:rPr>
                    <w:highlight w:val="lightGray"/>
                  </w:rPr>
                  <w:t>Joanne McGarry</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B92618">
              <w:t>B</w:t>
            </w:r>
            <w:r w:rsidR="00462C2F" w:rsidRPr="00462C2F">
              <w:rPr>
                <w:noProof/>
              </w:rPr>
              <w:t>lock 1, Miesian Plaza, 50 – 58 Lower Baggot Street, Dublin 2, D02 XW14</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61326C6C"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8B0798">
              <w:rPr>
                <w:i/>
                <w:iCs/>
                <w:color w:val="FF0000"/>
                <w:highlight w:val="lightGray"/>
              </w:rPr>
              <w:t> </w:t>
            </w:r>
            <w:r w:rsidRPr="00215CCA">
              <w:rPr>
                <w:i/>
                <w:iCs/>
                <w:color w:val="FF0000"/>
                <w:highlight w:val="lightGray"/>
              </w:rPr>
              <w:fldChar w:fldCharType="end"/>
            </w:r>
          </w:p>
          <w:p w14:paraId="188090F6" w14:textId="5072791E"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sidR="00740110">
              <w:rPr>
                <w:noProof/>
                <w:szCs w:val="22"/>
              </w:rPr>
              <w:t>6 months</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740110">
              <w:rPr>
                <w:noProof/>
                <w:szCs w:val="22"/>
              </w:rPr>
              <w:t>2</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 xml:space="preserve">not to subcontract more than 50% of the total value of the contract to economic operators originating in a third country which is subject to an IPI </w:t>
            </w:r>
            <w:proofErr w:type="gramStart"/>
            <w:r w:rsidRPr="00A035CA">
              <w:rPr>
                <w:szCs w:val="22"/>
              </w:rPr>
              <w:t>measure;</w:t>
            </w:r>
            <w:proofErr w:type="gramEnd"/>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 xml:space="preserve">to provide to the Client, upon request, adequate evidence corresponding to point (i) or (ii) </w:t>
            </w:r>
            <w:proofErr w:type="gramStart"/>
            <w:r w:rsidRPr="00A035CA">
              <w:rPr>
                <w:szCs w:val="22"/>
              </w:rPr>
              <w:t>above;</w:t>
            </w:r>
            <w:proofErr w:type="gramEnd"/>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D61DA0A"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 xml:space="preserve">Not Used </w:t>
            </w:r>
            <w:r w:rsidRPr="00FC5923">
              <w:rPr>
                <w:i/>
                <w:iCs/>
                <w:color w:val="FF0000"/>
                <w:highlight w:val="lightGray"/>
              </w:rPr>
              <w:fldChar w:fldCharType="end"/>
            </w:r>
            <w:bookmarkEnd w:id="25"/>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64A7373B" w:rsidR="001F7FC2" w:rsidRPr="001F7FC2" w:rsidRDefault="006D46F7"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9568B3"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27AD358B"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B936A6">
              <w:rPr>
                <w:i/>
                <w:iCs/>
                <w:color w:val="FF0000"/>
                <w:highlight w:val="lightGray"/>
              </w:rPr>
              <w:t> </w:t>
            </w:r>
            <w:r w:rsidR="00B936A6">
              <w:rPr>
                <w:i/>
                <w:iCs/>
                <w:color w:val="FF0000"/>
                <w:highlight w:val="lightGray"/>
              </w:rPr>
              <w:t> </w:t>
            </w:r>
            <w:r w:rsidR="00B936A6">
              <w:rPr>
                <w:i/>
                <w:iCs/>
                <w:color w:val="FF0000"/>
                <w:highlight w:val="lightGray"/>
              </w:rPr>
              <w:t> </w:t>
            </w:r>
            <w:r w:rsidR="00B936A6">
              <w:rPr>
                <w:i/>
                <w:iCs/>
                <w:color w:val="FF0000"/>
                <w:highlight w:val="lightGray"/>
              </w:rPr>
              <w:t> </w:t>
            </w:r>
            <w:r w:rsidR="00B936A6">
              <w:rPr>
                <w:i/>
                <w:iCs/>
                <w:color w:val="FF0000"/>
                <w:highlight w:val="lightGray"/>
              </w:rPr>
              <w:t> </w:t>
            </w:r>
            <w:r w:rsidRPr="00FC5923">
              <w:rPr>
                <w:i/>
                <w:iCs/>
                <w:color w:val="FF0000"/>
                <w:highlight w:val="lightGray"/>
              </w:rPr>
              <w:fldChar w:fldCharType="end"/>
            </w:r>
          </w:p>
          <w:p w14:paraId="49654599" w14:textId="1B736AF9"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sidR="00B936A6">
              <w:rPr>
                <w:noProof/>
              </w:rPr>
              <w:t xml:space="preserve">100% </w:t>
            </w:r>
            <w:r>
              <w:rPr>
                <w:noProof/>
              </w:rPr>
              <w:t>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24EAC385"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B936A6">
              <w:rPr>
                <w:noProof/>
                <w:szCs w:val="22"/>
              </w:rPr>
              <w:t>10%</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sidR="00B936A6">
              <w:rPr>
                <w:noProof/>
              </w:rPr>
              <w:t>20%</w:t>
            </w:r>
            <w:r>
              <w:fldChar w:fldCharType="end"/>
            </w:r>
            <w:bookmarkEnd w:id="27"/>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w:t>
            </w:r>
            <w:r w:rsidR="00394603" w:rsidRPr="000E5DB7">
              <w:lastRenderedPageBreak/>
              <w:t>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35544FA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62447D">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45FBDB5B"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p>
          <w:p w14:paraId="716A8589" w14:textId="5FB413BD"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62447D">
              <w:t> </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62447D">
              <w:t> </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w:t>
            </w:r>
            <w:r w:rsidRPr="000E5DB7">
              <w:lastRenderedPageBreak/>
              <w:t>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 xml:space="preserve">Upon the termination of this Agreement for whatever reason, the Contractor shall immediately deliver up to the Client all the Materials prepared up to the date of </w:t>
            </w:r>
            <w:r w:rsidRPr="000E5DB7">
              <w:rPr>
                <w:szCs w:val="22"/>
              </w:rPr>
              <w:lastRenderedPageBreak/>
              <w:t>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w:t>
            </w:r>
            <w:r w:rsidRPr="000E5DB7">
              <w:lastRenderedPageBreak/>
              <w:t xml:space="preserve">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D9F6124"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6426C0">
              <w:rPr>
                <w:noProof/>
              </w:rPr>
              <w:t>14</w:t>
            </w:r>
            <w:r w:rsidR="00C3799C">
              <w:rPr>
                <w:noProof/>
              </w:rPr>
              <w:t xml:space="preserve"> </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49F5A162"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460D12">
              <w:t>one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w:t>
            </w:r>
            <w:r w:rsidRPr="000E5DB7">
              <w:lastRenderedPageBreak/>
              <w:t xml:space="preserve">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460D12">
              <w:t>three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lastRenderedPageBreak/>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 xml:space="preserve">if the other Party commits any serious breach or a series of breaches of any provision of this Agreement and fails to remedy such breach(es) (if the breach(es) are capable of remedy) within 30 days after receipt of a request in writing from the other </w:t>
            </w:r>
            <w:proofErr w:type="gramStart"/>
            <w:r w:rsidRPr="000E5DB7">
              <w:t>Party;</w:t>
            </w:r>
            <w:proofErr w:type="gramEnd"/>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 xml:space="preserve">that any of the exclusion grounds set out in Regulation 57 of the Regulations apply to the </w:t>
            </w:r>
            <w:proofErr w:type="gramStart"/>
            <w:r w:rsidRPr="005559D9">
              <w:rPr>
                <w:szCs w:val="22"/>
              </w:rPr>
              <w:t>Contractor</w:t>
            </w:r>
            <w:r>
              <w:rPr>
                <w:szCs w:val="22"/>
              </w:rPr>
              <w:t>;</w:t>
            </w:r>
            <w:proofErr w:type="gramEnd"/>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33A106E2"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6426C0">
              <w:rPr>
                <w:noProof/>
                <w:szCs w:val="22"/>
              </w:rPr>
              <w:t>Joanne McGarry</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lastRenderedPageBreak/>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 xml:space="preserve">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w:t>
      </w:r>
      <w:r w:rsidR="005A564A" w:rsidRPr="00105D6E">
        <w:rPr>
          <w:szCs w:val="22"/>
        </w:rPr>
        <w:lastRenderedPageBreak/>
        <w:t>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 xml:space="preserve">The terms “registrable interest” and “relative” shall be interpreted as per section </w:t>
            </w:r>
            <w:r w:rsidRPr="000E5DB7">
              <w:lastRenderedPageBreak/>
              <w:t>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safe and tidy condition. The Contractor is solely responsible for making good any damage to the </w:t>
            </w:r>
            <w:r w:rsidRPr="000E5DB7">
              <w:lastRenderedPageBreak/>
              <w:t>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lastRenderedPageBreak/>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Controller”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Access Request” means a request made by a Data Subject in accordance with rights granted under the Data Protection Laws to access his or her Personal </w:t>
          </w:r>
          <w:proofErr w:type="gramStart"/>
          <w:r w:rsidRPr="006A7016">
            <w:rPr>
              <w:rFonts w:asciiTheme="minorHAnsi" w:eastAsiaTheme="minorHAnsi" w:hAnsiTheme="minorHAnsi" w:cstheme="minorBidi"/>
              <w:szCs w:val="22"/>
              <w:lang w:val="en-IE"/>
            </w:rPr>
            <w:t>Data;</w:t>
          </w:r>
          <w:proofErr w:type="gramEnd"/>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“Personal Data” has the meaning given under Data Protection </w:t>
          </w:r>
          <w:proofErr w:type="gramStart"/>
          <w:r w:rsidRPr="006A7016">
            <w:rPr>
              <w:rFonts w:asciiTheme="minorHAnsi" w:eastAsiaTheme="minorHAnsi" w:hAnsiTheme="minorHAnsi" w:cstheme="minorBidi"/>
              <w:szCs w:val="22"/>
              <w:lang w:val="en-IE"/>
            </w:rPr>
            <w:t>Laws;</w:t>
          </w:r>
          <w:proofErr w:type="gramEnd"/>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“Processing” has the meaning given under the Data Protection </w:t>
          </w:r>
          <w:proofErr w:type="gramStart"/>
          <w:r w:rsidRPr="006A7016">
            <w:rPr>
              <w:rFonts w:asciiTheme="minorHAnsi" w:eastAsiaTheme="minorHAnsi" w:hAnsiTheme="minorHAnsi" w:cstheme="minorBidi"/>
              <w:szCs w:val="22"/>
              <w:lang w:val="en-IE"/>
            </w:rPr>
            <w:t>Laws;</w:t>
          </w:r>
          <w:proofErr w:type="gramEnd"/>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w:t>
          </w:r>
          <w:proofErr w:type="gramStart"/>
          <w:r w:rsidRPr="006A7016">
            <w:rPr>
              <w:rFonts w:asciiTheme="minorHAnsi" w:eastAsiaTheme="minorHAnsi" w:hAnsiTheme="minorHAnsi" w:cstheme="minorBidi"/>
              <w:szCs w:val="22"/>
              <w:lang w:val="en-IE"/>
            </w:rPr>
            <w:t>Client;</w:t>
          </w:r>
          <w:proofErr w:type="gramEnd"/>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(3)  ensure that all personnel who have access to and/or process Personal Data are obliged to keep the Personal Data </w:t>
          </w:r>
          <w:proofErr w:type="gramStart"/>
          <w:r w:rsidRPr="006A7016">
            <w:rPr>
              <w:rFonts w:asciiTheme="minorHAnsi" w:eastAsiaTheme="minorHAnsi" w:hAnsiTheme="minorHAnsi" w:cstheme="minorBidi"/>
              <w:szCs w:val="22"/>
              <w:lang w:val="en-IE"/>
            </w:rPr>
            <w:t>confidential;</w:t>
          </w:r>
          <w:proofErr w:type="gramEnd"/>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(4)  not transfer any Personal Data outside of the European Economic Area unless the prior written consent of the Client has been obtained and the following conditions are </w:t>
          </w:r>
          <w:proofErr w:type="gramStart"/>
          <w:r w:rsidRPr="006A7016">
            <w:rPr>
              <w:rFonts w:asciiTheme="minorHAnsi" w:eastAsiaTheme="minorHAnsi" w:hAnsiTheme="minorHAnsi" w:cstheme="minorBidi"/>
              <w:szCs w:val="22"/>
              <w:lang w:val="en-IE"/>
            </w:rPr>
            <w:t>fulfilled;</w:t>
          </w:r>
          <w:proofErr w:type="gramEnd"/>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w:t>
          </w:r>
          <w:proofErr w:type="gramStart"/>
          <w:r w:rsidRPr="006A7016">
            <w:t>);</w:t>
          </w:r>
          <w:proofErr w:type="gramEnd"/>
          <w:r w:rsidRPr="006A7016">
            <w:t xml:space="preserve">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w:t>
          </w:r>
          <w:proofErr w:type="gramStart"/>
          <w:r w:rsidRPr="006A7016">
            <w:t>remedies;</w:t>
          </w:r>
          <w:proofErr w:type="gramEnd"/>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w:t>
          </w:r>
          <w:proofErr w:type="gramStart"/>
          <w:r w:rsidRPr="006A7016">
            <w:t>Data;</w:t>
          </w:r>
          <w:proofErr w:type="gramEnd"/>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(1) take all reasonable precautions to preserve the integrity of any Personal Data which it processes and to prevent any corruption or loss of such Personal </w:t>
          </w:r>
          <w:proofErr w:type="gramStart"/>
          <w:r w:rsidRPr="006A7016">
            <w:rPr>
              <w:rFonts w:asciiTheme="minorHAnsi" w:eastAsiaTheme="minorHAnsi" w:hAnsiTheme="minorHAnsi" w:cstheme="minorBidi"/>
              <w:szCs w:val="22"/>
              <w:lang w:val="en-IE"/>
            </w:rPr>
            <w:t>Data;</w:t>
          </w:r>
          <w:proofErr w:type="gramEnd"/>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2CF94188" w14:textId="77777777" w:rsidR="00FC4084" w:rsidRPr="008E7727" w:rsidRDefault="00FC4084" w:rsidP="008E7727">
          <w:pPr>
            <w:pStyle w:val="ListParagraph"/>
            <w:numPr>
              <w:ilvl w:val="0"/>
              <w:numId w:val="11"/>
            </w:numPr>
            <w:rPr>
              <w:rFonts w:asciiTheme="minorHAnsi" w:hAnsiTheme="minorHAnsi"/>
              <w:color w:val="FF0000"/>
              <w:szCs w:val="22"/>
              <w:lang w:val="en-IE"/>
            </w:rPr>
          </w:pPr>
          <w:r w:rsidRPr="008E7727">
            <w:rPr>
              <w:rFonts w:asciiTheme="minorHAnsi" w:eastAsiaTheme="minorHAnsi" w:hAnsiTheme="minorHAnsi" w:cstheme="minorBidi"/>
              <w:szCs w:val="22"/>
              <w:lang w:val="en-IE"/>
            </w:rPr>
            <w:t xml:space="preserve">The Client does not consent to the Contractor appointing any </w:t>
          </w:r>
          <w:proofErr w:type="gramStart"/>
          <w:r w:rsidRPr="008E7727">
            <w:rPr>
              <w:rFonts w:asciiTheme="minorHAnsi" w:eastAsiaTheme="minorHAnsi" w:hAnsiTheme="minorHAnsi" w:cstheme="minorBidi"/>
              <w:szCs w:val="22"/>
              <w:lang w:val="en-IE"/>
            </w:rPr>
            <w:t>third party</w:t>
          </w:r>
          <w:proofErr w:type="gramEnd"/>
          <w:r w:rsidRPr="008E7727">
            <w:rPr>
              <w:rFonts w:asciiTheme="minorHAnsi" w:eastAsiaTheme="minorHAnsi" w:hAnsiTheme="minorHAnsi" w:cstheme="minorBidi"/>
              <w:szCs w:val="22"/>
              <w:lang w:val="en-IE"/>
            </w:rPr>
            <w:t xml:space="preserve">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6D46F7"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7C40B245" w14:textId="6A51BAAC" w:rsidR="001F7FC2" w:rsidRPr="00310EDC" w:rsidRDefault="001F7FC2" w:rsidP="00CC7906">
          <w:pPr>
            <w:spacing w:after="0"/>
          </w:pPr>
          <w:r w:rsidRPr="00310EDC">
            <w:rPr>
              <w:i/>
              <w:iCs/>
              <w:noProof/>
              <w:highlight w:val="lightGray"/>
            </w:rPr>
            <w:t>Not Used</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6D46F7"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01475C16"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w:t>
              </w:r>
              <w:r w:rsidR="00043BD0">
                <w:rPr>
                  <w:noProof/>
                  <w:szCs w:val="22"/>
                </w:rPr>
                <w:t>The Department of Children, Disability and Equality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00043BD0" w:rsidRPr="00364594">
                <w:rPr>
                  <w:noProof/>
                </w:rPr>
                <w:t>Block 1, Miesian Plaza, 50 – 58 Lower Baggot Street, Dublin 2, D02 XW</w:t>
              </w:r>
              <w:r w:rsidR="00043BD0">
                <w:rPr>
                  <w:noProof/>
                </w:rPr>
                <w:t>14</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0"/>
                <w:gridCol w:w="8266"/>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52FB740A"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Services</w:t>
                    </w:r>
                    <w:r w:rsidRPr="00BE4EBF">
                      <w:rPr>
                        <w:szCs w:val="22"/>
                      </w:rPr>
                      <w:t xml:space="preserve"> described in Appendix 1 to the RFT (the </w:t>
                    </w:r>
                    <w:r w:rsidRPr="00BE4EBF">
                      <w:rPr>
                        <w:szCs w:val="22"/>
                        <w:highlight w:val="lightGray"/>
                      </w:rPr>
                      <w:t>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218EB119"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w:t>
                    </w:r>
                    <w:r w:rsidRPr="00BE4EBF">
                      <w:rPr>
                        <w:rFonts w:asciiTheme="minorHAnsi" w:eastAsiaTheme="minorHAnsi" w:hAnsiTheme="minorHAnsi" w:cstheme="minorBidi"/>
                        <w:szCs w:val="22"/>
                        <w:lang w:val="en-IE"/>
                      </w:rPr>
                      <w:lastRenderedPageBreak/>
                      <w:t>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w:t>
                    </w:r>
                    <w:proofErr w:type="gramStart"/>
                    <w:r w:rsidRPr="00BE4EBF">
                      <w:rPr>
                        <w:szCs w:val="22"/>
                      </w:rPr>
                      <w:t>Laws;</w:t>
                    </w:r>
                    <w:proofErr w:type="gramEnd"/>
                    <w:r w:rsidRPr="00BE4EBF">
                      <w:rPr>
                        <w:szCs w:val="22"/>
                      </w:rPr>
                      <w:t xml:space="preserve">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w:t>
                    </w:r>
                    <w:proofErr w:type="gramStart"/>
                    <w:r w:rsidRPr="00BE4EBF">
                      <w:rPr>
                        <w:szCs w:val="22"/>
                      </w:rPr>
                      <w:t>Laws;</w:t>
                    </w:r>
                    <w:proofErr w:type="gramEnd"/>
                    <w:r w:rsidRPr="00BE4EBF">
                      <w:rPr>
                        <w:szCs w:val="22"/>
                      </w:rPr>
                      <w:t xml:space="preserve">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w:t>
                    </w:r>
                    <w:proofErr w:type="gramStart"/>
                    <w:r w:rsidRPr="00BE4EBF">
                      <w:rPr>
                        <w:szCs w:val="22"/>
                      </w:rPr>
                      <w:t>Laws;</w:t>
                    </w:r>
                    <w:proofErr w:type="gramEnd"/>
                    <w:r w:rsidRPr="00BE4EBF">
                      <w:rPr>
                        <w:szCs w:val="22"/>
                      </w:rPr>
                      <w:t xml:space="preserve"> </w:t>
                    </w:r>
                  </w:p>
                  <w:p w14:paraId="6BB81E71" w14:textId="77777777" w:rsidR="005635BE" w:rsidRPr="00BE4EBF" w:rsidRDefault="005635BE" w:rsidP="00757561">
                    <w:pPr>
                      <w:spacing w:line="256" w:lineRule="auto"/>
                      <w:jc w:val="both"/>
                      <w:rPr>
                        <w:szCs w:val="22"/>
                      </w:rPr>
                    </w:pPr>
                    <w:r w:rsidRPr="00BE4EBF">
                      <w:rPr>
                        <w:szCs w:val="22"/>
                      </w:rPr>
                      <w:t xml:space="preserve">“Data Subject Access Request” means a request made by a Data Subject in accordance with rights granted under the Data Protection Laws to access his or her Personal </w:t>
                    </w:r>
                    <w:proofErr w:type="gramStart"/>
                    <w:r w:rsidRPr="00BE4EBF">
                      <w:rPr>
                        <w:szCs w:val="22"/>
                      </w:rPr>
                      <w:t>Data;</w:t>
                    </w:r>
                    <w:proofErr w:type="gramEnd"/>
                  </w:p>
                  <w:p w14:paraId="1174B509" w14:textId="77777777" w:rsidR="005635BE" w:rsidRPr="00BE4EBF" w:rsidRDefault="005635BE" w:rsidP="00757561">
                    <w:pPr>
                      <w:spacing w:line="256" w:lineRule="auto"/>
                      <w:jc w:val="both"/>
                      <w:rPr>
                        <w:szCs w:val="22"/>
                      </w:rPr>
                    </w:pPr>
                    <w:r w:rsidRPr="00BE4EBF">
                      <w:rPr>
                        <w:szCs w:val="22"/>
                      </w:rPr>
                      <w:t xml:space="preserve">“Personal Data” has the meaning given under Data Protection </w:t>
                    </w:r>
                    <w:proofErr w:type="gramStart"/>
                    <w:r w:rsidRPr="00BE4EBF">
                      <w:rPr>
                        <w:szCs w:val="22"/>
                      </w:rPr>
                      <w:t>Laws;</w:t>
                    </w:r>
                    <w:proofErr w:type="gramEnd"/>
                  </w:p>
                  <w:p w14:paraId="4551E7F8" w14:textId="77777777" w:rsidR="005635BE" w:rsidRPr="00BE4EBF" w:rsidRDefault="005635BE" w:rsidP="00757561">
                    <w:pPr>
                      <w:spacing w:line="256" w:lineRule="auto"/>
                      <w:jc w:val="both"/>
                      <w:rPr>
                        <w:szCs w:val="22"/>
                      </w:rPr>
                    </w:pPr>
                    <w:r w:rsidRPr="00BE4EBF">
                      <w:rPr>
                        <w:szCs w:val="22"/>
                      </w:rPr>
                      <w:t xml:space="preserve">“Processing” has the meaning given under the Data Protection </w:t>
                    </w:r>
                    <w:proofErr w:type="gramStart"/>
                    <w:r w:rsidRPr="00BE4EBF">
                      <w:rPr>
                        <w:szCs w:val="22"/>
                      </w:rPr>
                      <w:t>Laws;</w:t>
                    </w:r>
                    <w:proofErr w:type="gramEnd"/>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 xml:space="preserve">Contracting </w:t>
                    </w:r>
                    <w:proofErr w:type="gramStart"/>
                    <w:r>
                      <w:rPr>
                        <w:szCs w:val="22"/>
                      </w:rPr>
                      <w:t>Authority</w:t>
                    </w:r>
                    <w:r w:rsidRPr="00BE4EBF">
                      <w:rPr>
                        <w:szCs w:val="22"/>
                      </w:rPr>
                      <w:t>;</w:t>
                    </w:r>
                    <w:proofErr w:type="gramEnd"/>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all personnel who have access to and/or process Personal Data are obliged to keep the Personal Data </w:t>
                    </w:r>
                    <w:proofErr w:type="gramStart"/>
                    <w:r w:rsidRPr="00BE4EBF">
                      <w:rPr>
                        <w:szCs w:val="22"/>
                      </w:rPr>
                      <w:t>confidential;</w:t>
                    </w:r>
                    <w:proofErr w:type="gramEnd"/>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w:t>
                    </w:r>
                    <w:proofErr w:type="gramStart"/>
                    <w:r w:rsidRPr="00BE4EBF">
                      <w:rPr>
                        <w:szCs w:val="22"/>
                      </w:rPr>
                      <w:t>fulfilled;</w:t>
                    </w:r>
                    <w:proofErr w:type="gramEnd"/>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appropriate safeguards are in place  in relation to the transfer, to ensure that Personal Data is adequately protected in accordance with Chapter V of Regulation 2016/679 ( General Data Protection Regulation</w:t>
                    </w:r>
                    <w:proofErr w:type="gramStart"/>
                    <w:r w:rsidRPr="00BE4EBF">
                      <w:rPr>
                        <w:szCs w:val="22"/>
                      </w:rPr>
                      <w:t>);</w:t>
                    </w:r>
                    <w:proofErr w:type="gramEnd"/>
                    <w:r w:rsidRPr="00BE4EBF">
                      <w:rPr>
                        <w:szCs w:val="22"/>
                      </w:rPr>
                      <w:t xml:space="preserve">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data subject has enforceable rights and effective legal </w:t>
                    </w:r>
                    <w:proofErr w:type="gramStart"/>
                    <w:r w:rsidRPr="00BE4EBF">
                      <w:rPr>
                        <w:szCs w:val="22"/>
                      </w:rPr>
                      <w:t>remedies;</w:t>
                    </w:r>
                    <w:proofErr w:type="gramEnd"/>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w:t>
                    </w:r>
                    <w:proofErr w:type="gramStart"/>
                    <w:r w:rsidRPr="00BE4EBF">
                      <w:rPr>
                        <w:szCs w:val="22"/>
                      </w:rPr>
                      <w:t>Data;</w:t>
                    </w:r>
                    <w:proofErr w:type="gramEnd"/>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 xml:space="preserve">Personal </w:t>
                    </w:r>
                    <w:proofErr w:type="gramStart"/>
                    <w:r w:rsidRPr="00BE4EBF">
                      <w:rPr>
                        <w:rFonts w:eastAsia="Calibri"/>
                        <w:szCs w:val="22"/>
                        <w:lang w:val="en-IE"/>
                      </w:rPr>
                      <w:t>Data</w:t>
                    </w:r>
                    <w:r w:rsidRPr="00BE4EBF">
                      <w:rPr>
                        <w:szCs w:val="22"/>
                      </w:rPr>
                      <w:t>;</w:t>
                    </w:r>
                    <w:proofErr w:type="gramEnd"/>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71047354" w14:textId="11D5CABD" w:rsidR="005635BE" w:rsidRPr="00BE4EBF" w:rsidRDefault="005635BE" w:rsidP="00757561">
                    <w:pPr>
                      <w:spacing w:line="256" w:lineRule="auto"/>
                      <w:jc w:val="both"/>
                      <w:rPr>
                        <w:i/>
                        <w:color w:val="FF0000"/>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5407EC5B" w14:textId="77777777" w:rsidR="005635BE" w:rsidRPr="00BE4EBF" w:rsidRDefault="006D46F7"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6D46F7"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6D46F7"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06E1" w14:textId="77777777" w:rsidR="00223F78" w:rsidRDefault="00223F78" w:rsidP="003C0FB1">
      <w:r>
        <w:separator/>
      </w:r>
    </w:p>
  </w:endnote>
  <w:endnote w:type="continuationSeparator" w:id="0">
    <w:p w14:paraId="5114A3BB" w14:textId="77777777" w:rsidR="00223F78" w:rsidRDefault="00223F78" w:rsidP="003C0FB1">
      <w:r>
        <w:continuationSeparator/>
      </w:r>
    </w:p>
  </w:endnote>
  <w:endnote w:type="continuationNotice" w:id="1">
    <w:p w14:paraId="0D047777" w14:textId="77777777" w:rsidR="00223F78" w:rsidRDefault="00223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58FD" w14:textId="77777777" w:rsidR="00223F78" w:rsidRDefault="00223F78" w:rsidP="003C0FB1">
      <w:r>
        <w:separator/>
      </w:r>
    </w:p>
  </w:footnote>
  <w:footnote w:type="continuationSeparator" w:id="0">
    <w:p w14:paraId="3806E398" w14:textId="77777777" w:rsidR="00223F78" w:rsidRDefault="00223F78" w:rsidP="003C0FB1">
      <w:r>
        <w:continuationSeparator/>
      </w:r>
    </w:p>
  </w:footnote>
  <w:footnote w:type="continuationNotice" w:id="1">
    <w:p w14:paraId="2FBDB671" w14:textId="77777777" w:rsidR="00223F78" w:rsidRDefault="00223F78">
      <w:pPr>
        <w:spacing w:after="0" w:line="240" w:lineRule="auto"/>
      </w:pPr>
    </w:p>
  </w:footnote>
  <w:footnote w:id="2">
    <w:p w14:paraId="3813D01C" w14:textId="77777777" w:rsidR="00791EF7" w:rsidRPr="00714CF5" w:rsidRDefault="00791EF7" w:rsidP="00791EF7">
      <w:pPr>
        <w:rPr>
          <w:szCs w:val="22"/>
        </w:rPr>
      </w:pPr>
      <w:r w:rsidRPr="00714CF5">
        <w:rPr>
          <w:rStyle w:val="FootnoteReference"/>
          <w:szCs w:val="22"/>
        </w:rPr>
        <w:footnoteRef/>
      </w:r>
      <w:r w:rsidRPr="00714CF5">
        <w:rPr>
          <w:szCs w:val="22"/>
        </w:rPr>
        <w:t xml:space="preserve"> Age range of birth to 18 to align with The National Human Rights Strategy for Disabled People 2025-2030, rather than Young Ireland w</w:t>
      </w:r>
      <w:r>
        <w:rPr>
          <w:szCs w:val="22"/>
        </w:rPr>
        <w:t>hich</w:t>
      </w:r>
      <w:r w:rsidRPr="00714CF5">
        <w:rPr>
          <w:szCs w:val="22"/>
        </w:rPr>
        <w:t xml:space="preserve"> is 24.</w:t>
      </w:r>
    </w:p>
  </w:footnote>
  <w:footnote w:id="3">
    <w:p w14:paraId="6B23A214" w14:textId="77777777" w:rsidR="00791EF7" w:rsidRPr="00714CF5" w:rsidRDefault="00791EF7" w:rsidP="00791EF7">
      <w:pPr>
        <w:rPr>
          <w:szCs w:val="22"/>
        </w:rPr>
      </w:pPr>
      <w:r w:rsidRPr="00714CF5">
        <w:rPr>
          <w:rStyle w:val="FootnoteReference"/>
          <w:szCs w:val="22"/>
        </w:rPr>
        <w:footnoteRef/>
      </w:r>
      <w:r w:rsidRPr="00714CF5">
        <w:rPr>
          <w:szCs w:val="22"/>
        </w:rPr>
        <w:t xml:space="preserve"> Definition of additional support needs: A child or young person with additional needs has more and/or different needs to do with their development, learning, communication, behaviour or emotional wellbeing than children and young people their age.  Sometimes additional needs may be called special education needs or disabilities.  Children and young people may experience a range of challenges and barriers which need different levels of support at different times so that they can participate in everyday life.</w:t>
      </w:r>
    </w:p>
    <w:p w14:paraId="510DC649" w14:textId="77777777" w:rsidR="00791EF7" w:rsidRDefault="00791EF7" w:rsidP="00791E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9F427E"/>
    <w:multiLevelType w:val="multilevel"/>
    <w:tmpl w:val="390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7B2F5C"/>
    <w:multiLevelType w:val="hybridMultilevel"/>
    <w:tmpl w:val="CD42D2CA"/>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5F59A7"/>
    <w:multiLevelType w:val="hybridMultilevel"/>
    <w:tmpl w:val="6178CCAC"/>
    <w:lvl w:ilvl="0" w:tplc="FFFFFFF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E15676"/>
    <w:multiLevelType w:val="multilevel"/>
    <w:tmpl w:val="70783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F41BA"/>
    <w:multiLevelType w:val="hybridMultilevel"/>
    <w:tmpl w:val="7CC4D0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546C10"/>
    <w:multiLevelType w:val="hybridMultilevel"/>
    <w:tmpl w:val="E5E058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F90F9B"/>
    <w:multiLevelType w:val="hybridMultilevel"/>
    <w:tmpl w:val="324CDB1A"/>
    <w:lvl w:ilvl="0" w:tplc="FFFFFFFF">
      <w:numFmt w:val="bullet"/>
      <w:lvlText w:val="-"/>
      <w:lvlJc w:val="left"/>
      <w:pPr>
        <w:ind w:left="720" w:hanging="360"/>
      </w:pPr>
      <w:rPr>
        <w:rFonts w:ascii="Aptos" w:eastAsia="Aptos" w:hAnsi="Aptos" w:cs="Times New Roman" w:hint="default"/>
      </w:rPr>
    </w:lvl>
    <w:lvl w:ilvl="1" w:tplc="1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A83165A"/>
    <w:multiLevelType w:val="multilevel"/>
    <w:tmpl w:val="602E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04E52EB"/>
    <w:multiLevelType w:val="hybridMultilevel"/>
    <w:tmpl w:val="747E69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2D256CC"/>
    <w:multiLevelType w:val="hybridMultilevel"/>
    <w:tmpl w:val="376A3292"/>
    <w:lvl w:ilvl="0" w:tplc="116CC84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32E2492"/>
    <w:multiLevelType w:val="hybridMultilevel"/>
    <w:tmpl w:val="29F2B758"/>
    <w:lvl w:ilvl="0" w:tplc="1809001B">
      <w:start w:val="1"/>
      <w:numFmt w:val="lowerRoman"/>
      <w:lvlText w:val="%1."/>
      <w:lvlJc w:val="right"/>
      <w:pPr>
        <w:ind w:left="2880" w:hanging="360"/>
      </w:p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3"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5" w15:restartNumberingAfterBreak="0">
    <w:nsid w:val="426C609D"/>
    <w:multiLevelType w:val="hybridMultilevel"/>
    <w:tmpl w:val="5F62B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4A4797C"/>
    <w:multiLevelType w:val="multilevel"/>
    <w:tmpl w:val="AEAE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CE257A"/>
    <w:multiLevelType w:val="multilevel"/>
    <w:tmpl w:val="E736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1F6D42"/>
    <w:multiLevelType w:val="hybridMultilevel"/>
    <w:tmpl w:val="78B641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C8F2046"/>
    <w:multiLevelType w:val="multilevel"/>
    <w:tmpl w:val="8ECCB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D36244"/>
    <w:multiLevelType w:val="hybridMultilevel"/>
    <w:tmpl w:val="C4AC850C"/>
    <w:lvl w:ilvl="0" w:tplc="6C927908">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A3A74AB"/>
    <w:multiLevelType w:val="hybridMultilevel"/>
    <w:tmpl w:val="063C88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C595F73"/>
    <w:multiLevelType w:val="hybridMultilevel"/>
    <w:tmpl w:val="F1DAD8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DED5D62"/>
    <w:multiLevelType w:val="hybridMultilevel"/>
    <w:tmpl w:val="66B247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F3E7BED"/>
    <w:multiLevelType w:val="hybridMultilevel"/>
    <w:tmpl w:val="24B49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BE30EF5"/>
    <w:multiLevelType w:val="hybridMultilevel"/>
    <w:tmpl w:val="C136E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200440032">
    <w:abstractNumId w:val="31"/>
  </w:num>
  <w:num w:numId="2" w16cid:durableId="2051147651">
    <w:abstractNumId w:val="46"/>
  </w:num>
  <w:num w:numId="3" w16cid:durableId="241766877">
    <w:abstractNumId w:val="35"/>
  </w:num>
  <w:num w:numId="4" w16cid:durableId="1119493560">
    <w:abstractNumId w:val="7"/>
  </w:num>
  <w:num w:numId="5" w16cid:durableId="1359627161">
    <w:abstractNumId w:val="45"/>
  </w:num>
  <w:num w:numId="6" w16cid:durableId="207105412">
    <w:abstractNumId w:val="13"/>
  </w:num>
  <w:num w:numId="7" w16cid:durableId="1796409320">
    <w:abstractNumId w:val="3"/>
  </w:num>
  <w:num w:numId="8" w16cid:durableId="2008944987">
    <w:abstractNumId w:val="4"/>
  </w:num>
  <w:num w:numId="9" w16cid:durableId="350568441">
    <w:abstractNumId w:val="9"/>
  </w:num>
  <w:num w:numId="10" w16cid:durableId="449127752">
    <w:abstractNumId w:val="43"/>
  </w:num>
  <w:num w:numId="11" w16cid:durableId="780615466">
    <w:abstractNumId w:val="14"/>
  </w:num>
  <w:num w:numId="12" w16cid:durableId="298192046">
    <w:abstractNumId w:val="28"/>
  </w:num>
  <w:num w:numId="13" w16cid:durableId="410199672">
    <w:abstractNumId w:val="29"/>
  </w:num>
  <w:num w:numId="14" w16cid:durableId="1327591762">
    <w:abstractNumId w:val="24"/>
  </w:num>
  <w:num w:numId="15" w16cid:durableId="1625035971">
    <w:abstractNumId w:val="41"/>
  </w:num>
  <w:num w:numId="16" w16cid:durableId="1057557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5305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06291">
    <w:abstractNumId w:val="10"/>
  </w:num>
  <w:num w:numId="19" w16cid:durableId="836506658">
    <w:abstractNumId w:val="36"/>
  </w:num>
  <w:num w:numId="20" w16cid:durableId="1993483127">
    <w:abstractNumId w:val="27"/>
  </w:num>
  <w:num w:numId="21" w16cid:durableId="796526969">
    <w:abstractNumId w:val="23"/>
  </w:num>
  <w:num w:numId="22" w16cid:durableId="915631070">
    <w:abstractNumId w:val="37"/>
  </w:num>
  <w:num w:numId="23" w16cid:durableId="59134838">
    <w:abstractNumId w:val="2"/>
  </w:num>
  <w:num w:numId="24" w16cid:durableId="1745908911">
    <w:abstractNumId w:val="40"/>
  </w:num>
  <w:num w:numId="25" w16cid:durableId="1127621747">
    <w:abstractNumId w:val="39"/>
  </w:num>
  <w:num w:numId="26" w16cid:durableId="1647277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189470">
    <w:abstractNumId w:val="12"/>
  </w:num>
  <w:num w:numId="28" w16cid:durableId="1847164157">
    <w:abstractNumId w:val="11"/>
  </w:num>
  <w:num w:numId="29" w16cid:durableId="1505587758">
    <w:abstractNumId w:val="18"/>
  </w:num>
  <w:num w:numId="30" w16cid:durableId="924338745">
    <w:abstractNumId w:val="26"/>
  </w:num>
  <w:num w:numId="31" w16cid:durableId="1436704493">
    <w:abstractNumId w:val="30"/>
  </w:num>
  <w:num w:numId="32" w16cid:durableId="1651901137">
    <w:abstractNumId w:val="1"/>
  </w:num>
  <w:num w:numId="33" w16cid:durableId="155805828">
    <w:abstractNumId w:val="34"/>
  </w:num>
  <w:num w:numId="34" w16cid:durableId="43408313">
    <w:abstractNumId w:val="33"/>
  </w:num>
  <w:num w:numId="35" w16cid:durableId="387002088">
    <w:abstractNumId w:val="15"/>
  </w:num>
  <w:num w:numId="36" w16cid:durableId="1891188008">
    <w:abstractNumId w:val="42"/>
  </w:num>
  <w:num w:numId="37" w16cid:durableId="1481312621">
    <w:abstractNumId w:val="32"/>
  </w:num>
  <w:num w:numId="38" w16cid:durableId="1168642730">
    <w:abstractNumId w:val="25"/>
  </w:num>
  <w:num w:numId="39" w16cid:durableId="266890122">
    <w:abstractNumId w:val="5"/>
  </w:num>
  <w:num w:numId="40" w16cid:durableId="2127116600">
    <w:abstractNumId w:val="38"/>
  </w:num>
  <w:num w:numId="41" w16cid:durableId="348680117">
    <w:abstractNumId w:val="20"/>
  </w:num>
  <w:num w:numId="42" w16cid:durableId="1466465514">
    <w:abstractNumId w:val="44"/>
  </w:num>
  <w:num w:numId="43" w16cid:durableId="2094545169">
    <w:abstractNumId w:val="22"/>
    <w:lvlOverride w:ilvl="0">
      <w:startOverride w:val="1"/>
    </w:lvlOverride>
    <w:lvlOverride w:ilvl="1"/>
    <w:lvlOverride w:ilvl="2"/>
    <w:lvlOverride w:ilvl="3"/>
    <w:lvlOverride w:ilvl="4"/>
    <w:lvlOverride w:ilvl="5"/>
    <w:lvlOverride w:ilvl="6"/>
    <w:lvlOverride w:ilvl="7"/>
    <w:lvlOverride w:ilvl="8"/>
  </w:num>
  <w:num w:numId="44" w16cid:durableId="1024482598">
    <w:abstractNumId w:val="21"/>
  </w:num>
  <w:num w:numId="45" w16cid:durableId="172059100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43BD0"/>
    <w:rsid w:val="00051EB3"/>
    <w:rsid w:val="00056849"/>
    <w:rsid w:val="00056B48"/>
    <w:rsid w:val="00061527"/>
    <w:rsid w:val="0006379F"/>
    <w:rsid w:val="00065AEE"/>
    <w:rsid w:val="00071C43"/>
    <w:rsid w:val="00071F4C"/>
    <w:rsid w:val="00074610"/>
    <w:rsid w:val="00077A8E"/>
    <w:rsid w:val="000835B0"/>
    <w:rsid w:val="000B6F03"/>
    <w:rsid w:val="000C0E06"/>
    <w:rsid w:val="000C0E11"/>
    <w:rsid w:val="000C183B"/>
    <w:rsid w:val="000C3941"/>
    <w:rsid w:val="000C65B7"/>
    <w:rsid w:val="000C7B84"/>
    <w:rsid w:val="000D10E2"/>
    <w:rsid w:val="000D3B19"/>
    <w:rsid w:val="000E283A"/>
    <w:rsid w:val="000E2CF8"/>
    <w:rsid w:val="000E4872"/>
    <w:rsid w:val="000E7885"/>
    <w:rsid w:val="000F0378"/>
    <w:rsid w:val="000F0580"/>
    <w:rsid w:val="000F2FA9"/>
    <w:rsid w:val="000F4D74"/>
    <w:rsid w:val="000F4FE9"/>
    <w:rsid w:val="000F751F"/>
    <w:rsid w:val="0010002A"/>
    <w:rsid w:val="00101A30"/>
    <w:rsid w:val="00101AC8"/>
    <w:rsid w:val="00102515"/>
    <w:rsid w:val="00114317"/>
    <w:rsid w:val="00114C2B"/>
    <w:rsid w:val="00130442"/>
    <w:rsid w:val="001326A5"/>
    <w:rsid w:val="00143614"/>
    <w:rsid w:val="001473BE"/>
    <w:rsid w:val="00147DAB"/>
    <w:rsid w:val="001524AB"/>
    <w:rsid w:val="00164CF1"/>
    <w:rsid w:val="001651D7"/>
    <w:rsid w:val="00173329"/>
    <w:rsid w:val="001750A8"/>
    <w:rsid w:val="00175C84"/>
    <w:rsid w:val="0018606D"/>
    <w:rsid w:val="00186843"/>
    <w:rsid w:val="00192D79"/>
    <w:rsid w:val="001A1AF2"/>
    <w:rsid w:val="001B5C7C"/>
    <w:rsid w:val="001B602E"/>
    <w:rsid w:val="001C2675"/>
    <w:rsid w:val="001C3A95"/>
    <w:rsid w:val="001C3D44"/>
    <w:rsid w:val="001C6B11"/>
    <w:rsid w:val="001D1C4C"/>
    <w:rsid w:val="001E3E08"/>
    <w:rsid w:val="001E59E6"/>
    <w:rsid w:val="001F6360"/>
    <w:rsid w:val="001F68D2"/>
    <w:rsid w:val="001F7FC2"/>
    <w:rsid w:val="00206CC8"/>
    <w:rsid w:val="002175DE"/>
    <w:rsid w:val="00221984"/>
    <w:rsid w:val="00223F78"/>
    <w:rsid w:val="00234C8E"/>
    <w:rsid w:val="0023618E"/>
    <w:rsid w:val="002418DA"/>
    <w:rsid w:val="00241925"/>
    <w:rsid w:val="00245488"/>
    <w:rsid w:val="00246362"/>
    <w:rsid w:val="0025621E"/>
    <w:rsid w:val="002628DF"/>
    <w:rsid w:val="00272107"/>
    <w:rsid w:val="00272489"/>
    <w:rsid w:val="0028250A"/>
    <w:rsid w:val="00291AF7"/>
    <w:rsid w:val="00292437"/>
    <w:rsid w:val="00296C52"/>
    <w:rsid w:val="002A1879"/>
    <w:rsid w:val="002A1D93"/>
    <w:rsid w:val="002B2535"/>
    <w:rsid w:val="002B60D2"/>
    <w:rsid w:val="002C08E8"/>
    <w:rsid w:val="002C1BCF"/>
    <w:rsid w:val="002C6B49"/>
    <w:rsid w:val="002C70EC"/>
    <w:rsid w:val="002C7140"/>
    <w:rsid w:val="002C72C0"/>
    <w:rsid w:val="002D062E"/>
    <w:rsid w:val="002E273D"/>
    <w:rsid w:val="002F0288"/>
    <w:rsid w:val="0030399F"/>
    <w:rsid w:val="00304B42"/>
    <w:rsid w:val="003073E6"/>
    <w:rsid w:val="00307B1B"/>
    <w:rsid w:val="0031024C"/>
    <w:rsid w:val="00310EDC"/>
    <w:rsid w:val="00311BCB"/>
    <w:rsid w:val="00321AC6"/>
    <w:rsid w:val="00325955"/>
    <w:rsid w:val="00325B4F"/>
    <w:rsid w:val="003262A2"/>
    <w:rsid w:val="003270FE"/>
    <w:rsid w:val="00341568"/>
    <w:rsid w:val="0034204D"/>
    <w:rsid w:val="00347E6B"/>
    <w:rsid w:val="00350DBC"/>
    <w:rsid w:val="0035560A"/>
    <w:rsid w:val="00364594"/>
    <w:rsid w:val="00364946"/>
    <w:rsid w:val="003670C3"/>
    <w:rsid w:val="003700B0"/>
    <w:rsid w:val="0037365C"/>
    <w:rsid w:val="00374F20"/>
    <w:rsid w:val="00377945"/>
    <w:rsid w:val="00383C79"/>
    <w:rsid w:val="0038503C"/>
    <w:rsid w:val="0038799C"/>
    <w:rsid w:val="00387F48"/>
    <w:rsid w:val="00391F56"/>
    <w:rsid w:val="00394603"/>
    <w:rsid w:val="003C0FB1"/>
    <w:rsid w:val="003C19E4"/>
    <w:rsid w:val="003C2DA6"/>
    <w:rsid w:val="003D35B0"/>
    <w:rsid w:val="003E08C5"/>
    <w:rsid w:val="003E3642"/>
    <w:rsid w:val="003E7CC4"/>
    <w:rsid w:val="003F2FF0"/>
    <w:rsid w:val="003F3CA9"/>
    <w:rsid w:val="003F3EE7"/>
    <w:rsid w:val="003F4A1E"/>
    <w:rsid w:val="0040434C"/>
    <w:rsid w:val="00407C09"/>
    <w:rsid w:val="004101AD"/>
    <w:rsid w:val="004143B4"/>
    <w:rsid w:val="004240C4"/>
    <w:rsid w:val="00430EA8"/>
    <w:rsid w:val="0044102E"/>
    <w:rsid w:val="00443976"/>
    <w:rsid w:val="00444730"/>
    <w:rsid w:val="0045124D"/>
    <w:rsid w:val="0046000A"/>
    <w:rsid w:val="00460A70"/>
    <w:rsid w:val="00460D12"/>
    <w:rsid w:val="00462C2F"/>
    <w:rsid w:val="0046660B"/>
    <w:rsid w:val="00471150"/>
    <w:rsid w:val="00474043"/>
    <w:rsid w:val="004749CD"/>
    <w:rsid w:val="00483B81"/>
    <w:rsid w:val="00484AAB"/>
    <w:rsid w:val="004939B5"/>
    <w:rsid w:val="00496C17"/>
    <w:rsid w:val="004A0961"/>
    <w:rsid w:val="004A15F8"/>
    <w:rsid w:val="004A6B1F"/>
    <w:rsid w:val="004A7D33"/>
    <w:rsid w:val="004B2AF8"/>
    <w:rsid w:val="004B4771"/>
    <w:rsid w:val="004B576C"/>
    <w:rsid w:val="004B65A0"/>
    <w:rsid w:val="004C7F6E"/>
    <w:rsid w:val="004D3248"/>
    <w:rsid w:val="004D5E6D"/>
    <w:rsid w:val="004E00BE"/>
    <w:rsid w:val="004E257C"/>
    <w:rsid w:val="004E39CA"/>
    <w:rsid w:val="004F3DDB"/>
    <w:rsid w:val="00503F93"/>
    <w:rsid w:val="00507651"/>
    <w:rsid w:val="00514DFD"/>
    <w:rsid w:val="005153C1"/>
    <w:rsid w:val="0051673A"/>
    <w:rsid w:val="00516C6C"/>
    <w:rsid w:val="00522DF9"/>
    <w:rsid w:val="005239E4"/>
    <w:rsid w:val="00533484"/>
    <w:rsid w:val="00534A1C"/>
    <w:rsid w:val="00541969"/>
    <w:rsid w:val="00542982"/>
    <w:rsid w:val="0054610F"/>
    <w:rsid w:val="00550821"/>
    <w:rsid w:val="00550B2B"/>
    <w:rsid w:val="005520E5"/>
    <w:rsid w:val="00561C57"/>
    <w:rsid w:val="005635BE"/>
    <w:rsid w:val="005637A5"/>
    <w:rsid w:val="00564F8A"/>
    <w:rsid w:val="00580AF7"/>
    <w:rsid w:val="00581456"/>
    <w:rsid w:val="005821BF"/>
    <w:rsid w:val="0058336E"/>
    <w:rsid w:val="005836BD"/>
    <w:rsid w:val="00583CF6"/>
    <w:rsid w:val="005A41B0"/>
    <w:rsid w:val="005A564A"/>
    <w:rsid w:val="005B026D"/>
    <w:rsid w:val="005B2A6D"/>
    <w:rsid w:val="005B7A17"/>
    <w:rsid w:val="005C1535"/>
    <w:rsid w:val="005D60C5"/>
    <w:rsid w:val="005D7056"/>
    <w:rsid w:val="005E3864"/>
    <w:rsid w:val="005F2191"/>
    <w:rsid w:val="005F67F0"/>
    <w:rsid w:val="005F7E00"/>
    <w:rsid w:val="00601E78"/>
    <w:rsid w:val="0061100A"/>
    <w:rsid w:val="006133BE"/>
    <w:rsid w:val="0062447D"/>
    <w:rsid w:val="006426C0"/>
    <w:rsid w:val="00646B48"/>
    <w:rsid w:val="006535A0"/>
    <w:rsid w:val="006565BD"/>
    <w:rsid w:val="00662F78"/>
    <w:rsid w:val="00663B2A"/>
    <w:rsid w:val="00671010"/>
    <w:rsid w:val="006761DC"/>
    <w:rsid w:val="00684357"/>
    <w:rsid w:val="006955D1"/>
    <w:rsid w:val="006973D7"/>
    <w:rsid w:val="006A0D51"/>
    <w:rsid w:val="006A1D74"/>
    <w:rsid w:val="006A2F2B"/>
    <w:rsid w:val="006A7016"/>
    <w:rsid w:val="006B5E0A"/>
    <w:rsid w:val="006C0B78"/>
    <w:rsid w:val="006C4C7F"/>
    <w:rsid w:val="006C6715"/>
    <w:rsid w:val="006C71B4"/>
    <w:rsid w:val="006D46F7"/>
    <w:rsid w:val="00700A2F"/>
    <w:rsid w:val="00700D83"/>
    <w:rsid w:val="00702C39"/>
    <w:rsid w:val="00723089"/>
    <w:rsid w:val="00735410"/>
    <w:rsid w:val="0073644F"/>
    <w:rsid w:val="007368CF"/>
    <w:rsid w:val="00740110"/>
    <w:rsid w:val="00746EFF"/>
    <w:rsid w:val="00754B11"/>
    <w:rsid w:val="00756CA9"/>
    <w:rsid w:val="00757561"/>
    <w:rsid w:val="007704DA"/>
    <w:rsid w:val="007712DD"/>
    <w:rsid w:val="0077445C"/>
    <w:rsid w:val="007746D2"/>
    <w:rsid w:val="007831B0"/>
    <w:rsid w:val="00785B01"/>
    <w:rsid w:val="007879CD"/>
    <w:rsid w:val="00791EF7"/>
    <w:rsid w:val="007A3C19"/>
    <w:rsid w:val="007A49FA"/>
    <w:rsid w:val="007B120C"/>
    <w:rsid w:val="007B2C0C"/>
    <w:rsid w:val="007B6460"/>
    <w:rsid w:val="007B7D0E"/>
    <w:rsid w:val="007C5D7B"/>
    <w:rsid w:val="007C5E41"/>
    <w:rsid w:val="007C793D"/>
    <w:rsid w:val="007D2866"/>
    <w:rsid w:val="007E093F"/>
    <w:rsid w:val="007E582E"/>
    <w:rsid w:val="007E5B65"/>
    <w:rsid w:val="007E6594"/>
    <w:rsid w:val="007E76FD"/>
    <w:rsid w:val="007E7F2F"/>
    <w:rsid w:val="007F13F0"/>
    <w:rsid w:val="007F3458"/>
    <w:rsid w:val="007F411E"/>
    <w:rsid w:val="007F51EB"/>
    <w:rsid w:val="007F6B59"/>
    <w:rsid w:val="00803D16"/>
    <w:rsid w:val="0080489A"/>
    <w:rsid w:val="00810B05"/>
    <w:rsid w:val="0081621E"/>
    <w:rsid w:val="0081730C"/>
    <w:rsid w:val="00817F60"/>
    <w:rsid w:val="0082552F"/>
    <w:rsid w:val="00830592"/>
    <w:rsid w:val="0083112F"/>
    <w:rsid w:val="008347C3"/>
    <w:rsid w:val="00837A39"/>
    <w:rsid w:val="00851FC9"/>
    <w:rsid w:val="00854C0D"/>
    <w:rsid w:val="00861561"/>
    <w:rsid w:val="00867EDE"/>
    <w:rsid w:val="0088594E"/>
    <w:rsid w:val="00891A74"/>
    <w:rsid w:val="00894ED1"/>
    <w:rsid w:val="008A1C6D"/>
    <w:rsid w:val="008B0798"/>
    <w:rsid w:val="008B4BD4"/>
    <w:rsid w:val="008C07AC"/>
    <w:rsid w:val="008C69A3"/>
    <w:rsid w:val="008E235A"/>
    <w:rsid w:val="008E4241"/>
    <w:rsid w:val="008E7727"/>
    <w:rsid w:val="008F5874"/>
    <w:rsid w:val="008F637D"/>
    <w:rsid w:val="0090295B"/>
    <w:rsid w:val="00904FCA"/>
    <w:rsid w:val="009147DA"/>
    <w:rsid w:val="00915BD6"/>
    <w:rsid w:val="00916113"/>
    <w:rsid w:val="00921E8E"/>
    <w:rsid w:val="00926F67"/>
    <w:rsid w:val="00927A61"/>
    <w:rsid w:val="00931121"/>
    <w:rsid w:val="009340FB"/>
    <w:rsid w:val="00934BC4"/>
    <w:rsid w:val="00951854"/>
    <w:rsid w:val="009528C8"/>
    <w:rsid w:val="0095374A"/>
    <w:rsid w:val="009568B3"/>
    <w:rsid w:val="009608C5"/>
    <w:rsid w:val="009615D6"/>
    <w:rsid w:val="00961ACA"/>
    <w:rsid w:val="00963706"/>
    <w:rsid w:val="00967127"/>
    <w:rsid w:val="0097690B"/>
    <w:rsid w:val="00977CC4"/>
    <w:rsid w:val="009840F9"/>
    <w:rsid w:val="0099533F"/>
    <w:rsid w:val="00997226"/>
    <w:rsid w:val="009975E3"/>
    <w:rsid w:val="009A0BAB"/>
    <w:rsid w:val="009B0FE7"/>
    <w:rsid w:val="009B1FA7"/>
    <w:rsid w:val="009B6F44"/>
    <w:rsid w:val="009C05E9"/>
    <w:rsid w:val="009C6248"/>
    <w:rsid w:val="009C6CBD"/>
    <w:rsid w:val="009D6264"/>
    <w:rsid w:val="009E6B8D"/>
    <w:rsid w:val="009F157A"/>
    <w:rsid w:val="00A034E8"/>
    <w:rsid w:val="00A0779A"/>
    <w:rsid w:val="00A1509B"/>
    <w:rsid w:val="00A23EF9"/>
    <w:rsid w:val="00A25C3C"/>
    <w:rsid w:val="00A2740D"/>
    <w:rsid w:val="00A31012"/>
    <w:rsid w:val="00A33B24"/>
    <w:rsid w:val="00A60A1D"/>
    <w:rsid w:val="00A6430B"/>
    <w:rsid w:val="00A64EFD"/>
    <w:rsid w:val="00A67676"/>
    <w:rsid w:val="00A7281F"/>
    <w:rsid w:val="00A72D12"/>
    <w:rsid w:val="00A76E64"/>
    <w:rsid w:val="00A8258F"/>
    <w:rsid w:val="00A82605"/>
    <w:rsid w:val="00A826E0"/>
    <w:rsid w:val="00A94316"/>
    <w:rsid w:val="00AA5D03"/>
    <w:rsid w:val="00AA6837"/>
    <w:rsid w:val="00AB3391"/>
    <w:rsid w:val="00AB5697"/>
    <w:rsid w:val="00AC2471"/>
    <w:rsid w:val="00AC323D"/>
    <w:rsid w:val="00AC44B0"/>
    <w:rsid w:val="00AC4D66"/>
    <w:rsid w:val="00AD44D1"/>
    <w:rsid w:val="00AF22CD"/>
    <w:rsid w:val="00B12CE7"/>
    <w:rsid w:val="00B1490E"/>
    <w:rsid w:val="00B27C4B"/>
    <w:rsid w:val="00B35085"/>
    <w:rsid w:val="00B366D6"/>
    <w:rsid w:val="00B402FB"/>
    <w:rsid w:val="00B421F3"/>
    <w:rsid w:val="00B55394"/>
    <w:rsid w:val="00B57D36"/>
    <w:rsid w:val="00B6057A"/>
    <w:rsid w:val="00B61934"/>
    <w:rsid w:val="00B61AEE"/>
    <w:rsid w:val="00B61DAD"/>
    <w:rsid w:val="00B625AA"/>
    <w:rsid w:val="00B66734"/>
    <w:rsid w:val="00B66FE4"/>
    <w:rsid w:val="00B75D82"/>
    <w:rsid w:val="00B75F68"/>
    <w:rsid w:val="00B809C4"/>
    <w:rsid w:val="00B92618"/>
    <w:rsid w:val="00B936A6"/>
    <w:rsid w:val="00B9639C"/>
    <w:rsid w:val="00BA3A5E"/>
    <w:rsid w:val="00BA3C02"/>
    <w:rsid w:val="00BA7572"/>
    <w:rsid w:val="00BB24E7"/>
    <w:rsid w:val="00BB5E9D"/>
    <w:rsid w:val="00BC5F06"/>
    <w:rsid w:val="00BD2B8D"/>
    <w:rsid w:val="00BE0C6B"/>
    <w:rsid w:val="00BE4EBF"/>
    <w:rsid w:val="00BE69B1"/>
    <w:rsid w:val="00BF0515"/>
    <w:rsid w:val="00BF2644"/>
    <w:rsid w:val="00BF4019"/>
    <w:rsid w:val="00C050D1"/>
    <w:rsid w:val="00C11244"/>
    <w:rsid w:val="00C22B2F"/>
    <w:rsid w:val="00C25940"/>
    <w:rsid w:val="00C3103B"/>
    <w:rsid w:val="00C31A2A"/>
    <w:rsid w:val="00C32309"/>
    <w:rsid w:val="00C3799C"/>
    <w:rsid w:val="00C42E06"/>
    <w:rsid w:val="00C43DF2"/>
    <w:rsid w:val="00C4598F"/>
    <w:rsid w:val="00C45C7E"/>
    <w:rsid w:val="00C57446"/>
    <w:rsid w:val="00C652FF"/>
    <w:rsid w:val="00C67090"/>
    <w:rsid w:val="00C7189F"/>
    <w:rsid w:val="00C867D7"/>
    <w:rsid w:val="00C93669"/>
    <w:rsid w:val="00CA0B4D"/>
    <w:rsid w:val="00CA3AF8"/>
    <w:rsid w:val="00CC568F"/>
    <w:rsid w:val="00CC7906"/>
    <w:rsid w:val="00CE52AE"/>
    <w:rsid w:val="00CE7EE0"/>
    <w:rsid w:val="00D103CA"/>
    <w:rsid w:val="00D116BB"/>
    <w:rsid w:val="00D15BC8"/>
    <w:rsid w:val="00D17C44"/>
    <w:rsid w:val="00D244FD"/>
    <w:rsid w:val="00D3359A"/>
    <w:rsid w:val="00D3541F"/>
    <w:rsid w:val="00D35AA7"/>
    <w:rsid w:val="00D4117C"/>
    <w:rsid w:val="00D42F7C"/>
    <w:rsid w:val="00D47D69"/>
    <w:rsid w:val="00D61AC9"/>
    <w:rsid w:val="00D622B0"/>
    <w:rsid w:val="00D64590"/>
    <w:rsid w:val="00D74111"/>
    <w:rsid w:val="00D7420C"/>
    <w:rsid w:val="00D820BD"/>
    <w:rsid w:val="00D90105"/>
    <w:rsid w:val="00D97FE5"/>
    <w:rsid w:val="00DA508A"/>
    <w:rsid w:val="00DA6804"/>
    <w:rsid w:val="00DB0D06"/>
    <w:rsid w:val="00DB1533"/>
    <w:rsid w:val="00DB3219"/>
    <w:rsid w:val="00DB5E7D"/>
    <w:rsid w:val="00DB6F9F"/>
    <w:rsid w:val="00DC28E8"/>
    <w:rsid w:val="00DD0820"/>
    <w:rsid w:val="00DD2839"/>
    <w:rsid w:val="00DD59EC"/>
    <w:rsid w:val="00DF26D3"/>
    <w:rsid w:val="00E00BA2"/>
    <w:rsid w:val="00E03583"/>
    <w:rsid w:val="00E037E1"/>
    <w:rsid w:val="00E175E3"/>
    <w:rsid w:val="00E2592B"/>
    <w:rsid w:val="00E2701F"/>
    <w:rsid w:val="00E42FF2"/>
    <w:rsid w:val="00E541C9"/>
    <w:rsid w:val="00E551F2"/>
    <w:rsid w:val="00E60F71"/>
    <w:rsid w:val="00E618EE"/>
    <w:rsid w:val="00E662D1"/>
    <w:rsid w:val="00E80B01"/>
    <w:rsid w:val="00E92FAE"/>
    <w:rsid w:val="00E93694"/>
    <w:rsid w:val="00E97A42"/>
    <w:rsid w:val="00EA1632"/>
    <w:rsid w:val="00EA32E9"/>
    <w:rsid w:val="00EA39AD"/>
    <w:rsid w:val="00EB1547"/>
    <w:rsid w:val="00EB15D5"/>
    <w:rsid w:val="00EB444F"/>
    <w:rsid w:val="00EB5352"/>
    <w:rsid w:val="00EB6198"/>
    <w:rsid w:val="00EC08B9"/>
    <w:rsid w:val="00EC1186"/>
    <w:rsid w:val="00EC3227"/>
    <w:rsid w:val="00EC3FBC"/>
    <w:rsid w:val="00EC4410"/>
    <w:rsid w:val="00EC7568"/>
    <w:rsid w:val="00ED08A1"/>
    <w:rsid w:val="00ED1993"/>
    <w:rsid w:val="00ED6A8A"/>
    <w:rsid w:val="00EE08AA"/>
    <w:rsid w:val="00EE0B3F"/>
    <w:rsid w:val="00F25207"/>
    <w:rsid w:val="00F27C91"/>
    <w:rsid w:val="00F33D05"/>
    <w:rsid w:val="00F36615"/>
    <w:rsid w:val="00F54F8B"/>
    <w:rsid w:val="00F556EA"/>
    <w:rsid w:val="00F637BC"/>
    <w:rsid w:val="00F92B67"/>
    <w:rsid w:val="00F92BA2"/>
    <w:rsid w:val="00F934BA"/>
    <w:rsid w:val="00F935B2"/>
    <w:rsid w:val="00F9788B"/>
    <w:rsid w:val="00F979CD"/>
    <w:rsid w:val="00FA4A41"/>
    <w:rsid w:val="00FB4614"/>
    <w:rsid w:val="00FB7237"/>
    <w:rsid w:val="00FC4084"/>
    <w:rsid w:val="00FC794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uiPriority w:val="99"/>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uiPriority w:val="99"/>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qFormat/>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0C183B"/>
    <w:rPr>
      <w:color w:val="605E5C"/>
      <w:shd w:val="clear" w:color="auto" w:fill="E1DFDD"/>
    </w:rPr>
  </w:style>
  <w:style w:type="character" w:styleId="Strong">
    <w:name w:val="Strong"/>
    <w:basedOn w:val="DefaultParagraphFont"/>
    <w:uiPriority w:val="22"/>
    <w:qFormat/>
    <w:rsid w:val="00817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tenders.gov.ie" TargetMode="Externa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s://universaldesign.ie/toolkits/customer-communications-toolkit-for-services-to-the-public-a-universal-design-approach-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75092A72A9AE4A609061ACF42F9496B4"/>
        <w:category>
          <w:name w:val="General"/>
          <w:gallery w:val="placeholder"/>
        </w:category>
        <w:types>
          <w:type w:val="bbPlcHdr"/>
        </w:types>
        <w:behaviors>
          <w:behavior w:val="content"/>
        </w:behaviors>
        <w:guid w:val="{4906240F-AB47-434C-8AB7-CDC602648CAC}"/>
      </w:docPartPr>
      <w:docPartBody>
        <w:p w:rsidR="00A94DE6" w:rsidRDefault="00A94DE6" w:rsidP="00A94DE6">
          <w:pPr>
            <w:pStyle w:val="75092A72A9AE4A609061ACF42F9496B4"/>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1C33"/>
    <w:rsid w:val="0004676A"/>
    <w:rsid w:val="000878A3"/>
    <w:rsid w:val="0009520A"/>
    <w:rsid w:val="00096EC6"/>
    <w:rsid w:val="000D3B19"/>
    <w:rsid w:val="000E2117"/>
    <w:rsid w:val="000E50F2"/>
    <w:rsid w:val="000F16A3"/>
    <w:rsid w:val="00120EEE"/>
    <w:rsid w:val="00153ED0"/>
    <w:rsid w:val="0017502A"/>
    <w:rsid w:val="001C6B11"/>
    <w:rsid w:val="00202000"/>
    <w:rsid w:val="0021568F"/>
    <w:rsid w:val="002411F6"/>
    <w:rsid w:val="00243E81"/>
    <w:rsid w:val="00272489"/>
    <w:rsid w:val="002954EC"/>
    <w:rsid w:val="002A1D93"/>
    <w:rsid w:val="002B4D30"/>
    <w:rsid w:val="00304B42"/>
    <w:rsid w:val="00342601"/>
    <w:rsid w:val="0039574C"/>
    <w:rsid w:val="003C47B8"/>
    <w:rsid w:val="003D0F6C"/>
    <w:rsid w:val="003F7A40"/>
    <w:rsid w:val="0040434C"/>
    <w:rsid w:val="00416790"/>
    <w:rsid w:val="00423548"/>
    <w:rsid w:val="004368B4"/>
    <w:rsid w:val="0044102E"/>
    <w:rsid w:val="00460A70"/>
    <w:rsid w:val="00461DA6"/>
    <w:rsid w:val="004631ED"/>
    <w:rsid w:val="004726E3"/>
    <w:rsid w:val="004749CD"/>
    <w:rsid w:val="0048189C"/>
    <w:rsid w:val="004D3DF9"/>
    <w:rsid w:val="005005BD"/>
    <w:rsid w:val="005153C1"/>
    <w:rsid w:val="00520CC8"/>
    <w:rsid w:val="00550BBC"/>
    <w:rsid w:val="005821BF"/>
    <w:rsid w:val="00593781"/>
    <w:rsid w:val="005D7056"/>
    <w:rsid w:val="005F0348"/>
    <w:rsid w:val="006133BE"/>
    <w:rsid w:val="00653685"/>
    <w:rsid w:val="006A2F2B"/>
    <w:rsid w:val="006B1429"/>
    <w:rsid w:val="006B65EF"/>
    <w:rsid w:val="006E0644"/>
    <w:rsid w:val="00700A2F"/>
    <w:rsid w:val="00723089"/>
    <w:rsid w:val="00752271"/>
    <w:rsid w:val="00790A85"/>
    <w:rsid w:val="007F411E"/>
    <w:rsid w:val="00831B7E"/>
    <w:rsid w:val="0085602E"/>
    <w:rsid w:val="00894ED1"/>
    <w:rsid w:val="0090295B"/>
    <w:rsid w:val="009041FA"/>
    <w:rsid w:val="00975DA6"/>
    <w:rsid w:val="009975E3"/>
    <w:rsid w:val="009B3FDC"/>
    <w:rsid w:val="009D7763"/>
    <w:rsid w:val="009F5929"/>
    <w:rsid w:val="00A2740D"/>
    <w:rsid w:val="00A33272"/>
    <w:rsid w:val="00A37992"/>
    <w:rsid w:val="00A62CC7"/>
    <w:rsid w:val="00A64EFD"/>
    <w:rsid w:val="00A70F35"/>
    <w:rsid w:val="00A90020"/>
    <w:rsid w:val="00A94DE6"/>
    <w:rsid w:val="00A96FA1"/>
    <w:rsid w:val="00AA15E9"/>
    <w:rsid w:val="00AB4676"/>
    <w:rsid w:val="00AB4F25"/>
    <w:rsid w:val="00B27C4B"/>
    <w:rsid w:val="00B46764"/>
    <w:rsid w:val="00B64619"/>
    <w:rsid w:val="00B97C06"/>
    <w:rsid w:val="00BF0515"/>
    <w:rsid w:val="00C0248A"/>
    <w:rsid w:val="00C22A3B"/>
    <w:rsid w:val="00C43F9A"/>
    <w:rsid w:val="00C61719"/>
    <w:rsid w:val="00C7052B"/>
    <w:rsid w:val="00C867D7"/>
    <w:rsid w:val="00CC6B57"/>
    <w:rsid w:val="00CD7494"/>
    <w:rsid w:val="00D103A6"/>
    <w:rsid w:val="00D3147F"/>
    <w:rsid w:val="00D4117C"/>
    <w:rsid w:val="00E0041B"/>
    <w:rsid w:val="00E00BA2"/>
    <w:rsid w:val="00E2592B"/>
    <w:rsid w:val="00E618EE"/>
    <w:rsid w:val="00E662D1"/>
    <w:rsid w:val="00E74482"/>
    <w:rsid w:val="00E8465B"/>
    <w:rsid w:val="00E84A40"/>
    <w:rsid w:val="00EB15D5"/>
    <w:rsid w:val="00F04ABE"/>
    <w:rsid w:val="00F179AA"/>
    <w:rsid w:val="00F3224F"/>
    <w:rsid w:val="00F42675"/>
    <w:rsid w:val="00F44154"/>
    <w:rsid w:val="00F637BC"/>
    <w:rsid w:val="00F9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A94DE6"/>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75092A72A9AE4A609061ACF42F9496B4">
    <w:name w:val="75092A72A9AE4A609061ACF42F9496B4"/>
    <w:rsid w:val="00A94DE6"/>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Department of Children, Disability &amp; Equality </Abstract>
  <CompanyAddress/>
  <CompanyPhone/>
  <CompanyFax>quantitative &amp; qualitative research to identify the most helpful, non-therapeutic parenting supports for parents of children, with additional needs &amp; the practitioners who support them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BB8EAB19F454DAFA6C18E1CF75E9B" ma:contentTypeVersion="4" ma:contentTypeDescription="Create a new document." ma:contentTypeScope="" ma:versionID="70419c14cdbb1b6aaa8087e8614db432">
  <xsd:schema xmlns:xsd="http://www.w3.org/2001/XMLSchema" xmlns:xs="http://www.w3.org/2001/XMLSchema" xmlns:p="http://schemas.microsoft.com/office/2006/metadata/properties" xmlns:ns3="778299fe-428e-4d05-b2c9-fbec9303ab38" targetNamespace="http://schemas.microsoft.com/office/2006/metadata/properties" ma:root="true" ma:fieldsID="ba17887abcb0c164243e980700e05d3c" ns3:_="">
    <xsd:import namespace="778299fe-428e-4d05-b2c9-fbec9303ab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299fe-428e-4d05-b2c9-fbec9303ab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4.xml><?xml version="1.0" encoding="utf-8"?>
<ds:datastoreItem xmlns:ds="http://schemas.openxmlformats.org/officeDocument/2006/customXml" ds:itemID="{0F57D841-4F73-4054-80A5-F0DF477E2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299fe-428e-4d05-b2c9-fbec9303a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79</Pages>
  <Words>24939</Words>
  <Characters>142154</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Barry Brennan (DCDE)</cp:lastModifiedBy>
  <cp:revision>55</cp:revision>
  <dcterms:created xsi:type="dcterms:W3CDTF">2026-05-28T10:12:00Z</dcterms:created>
  <dcterms:modified xsi:type="dcterms:W3CDTF">2026-06-10T09:29:00Z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0x010100263BB8EAB19F454DAFA6C18E1CF75E9B</vt:lpwstr>
  </property>
  <property fmtid="{D5CDD505-2E9C-101B-9397-08002B2CF9AE}" pid="3" name="eDocs_FileTopics">
    <vt:lpwstr>9;#Project|c3045558-9a9e-4063-87b4-ace78644bf27</vt:lpwstr>
  </property>
  <property fmtid="{D5CDD505-2E9C-101B-9397-08002B2CF9AE}" pid="4" name="eDocs_DocumentTopics">
    <vt:lpwstr/>
  </property>
  <property fmtid="{D5CDD505-2E9C-101B-9397-08002B2CF9AE}" pid="5" name="eDocs_Year">
    <vt:lpwstr>11;#2022|86cdd6c3-ffb4-4eaa-86cb-97671b182c8e</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5;#Unclassified|4b26ba5a-b2cf-4159-a102-fb5f4f13f242</vt:lpwstr>
  </property>
  <property fmtid="{D5CDD505-2E9C-101B-9397-08002B2CF9AE}" pid="12" name="eDocs_SecurityLevel">
    <vt:lpwstr>Unclassified</vt:lpwstr>
  </property>
  <property fmtid="{D5CDD505-2E9C-101B-9397-08002B2CF9AE}" pid="13" name="eDocs_Series">
    <vt:lpwstr>1;#079|789e2f42-92da-4ef8-a5aa-83ac99f51e3c</vt:lpwstr>
  </property>
  <property fmtid="{D5CDD505-2E9C-101B-9397-08002B2CF9AE}" pid="14" name="ge25f6a3ef6f42d4865685f2a74bf8c7">
    <vt:lpwstr/>
  </property>
  <property fmtid="{D5CDD505-2E9C-101B-9397-08002B2CF9AE}" pid="15" name="eDocs_RetentionPeriodTerm">
    <vt:lpwstr/>
  </property>
</Properties>
</file>