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59020" w14:textId="77777777" w:rsidR="00C975AD" w:rsidRDefault="00C975AD">
      <w:pPr>
        <w:pBdr>
          <w:bottom w:val="single" w:sz="24" w:space="1" w:color="C55A11"/>
        </w:pBdr>
        <w:spacing w:before="2400"/>
      </w:pPr>
    </w:p>
    <w:p w14:paraId="0736E163" w14:textId="77777777" w:rsidR="00C975AD" w:rsidRDefault="00C975AD"/>
    <w:p w14:paraId="5F714A8F" w14:textId="77777777" w:rsidR="00C975AD" w:rsidRDefault="00E73EDB">
      <w:pPr>
        <w:spacing w:after="120"/>
      </w:pPr>
      <w:r>
        <w:rPr>
          <w:b/>
          <w:bCs/>
          <w:color w:val="1F3864"/>
          <w:sz w:val="28"/>
          <w:szCs w:val="28"/>
        </w:rPr>
        <w:t>Pre-Hospital Emergency Care Council</w:t>
      </w:r>
    </w:p>
    <w:p w14:paraId="1846479D" w14:textId="77777777" w:rsidR="00C975AD" w:rsidRDefault="00E73EDB">
      <w:pPr>
        <w:spacing w:before="240" w:after="120"/>
      </w:pPr>
      <w:r>
        <w:rPr>
          <w:b/>
          <w:bCs/>
          <w:color w:val="1F3864"/>
          <w:sz w:val="56"/>
          <w:szCs w:val="56"/>
        </w:rPr>
        <w:t>Response Templates</w:t>
      </w:r>
    </w:p>
    <w:p w14:paraId="5B360895" w14:textId="77777777" w:rsidR="00C975AD" w:rsidRDefault="00E73EDB">
      <w:pPr>
        <w:spacing w:before="120" w:after="120"/>
      </w:pPr>
      <w:r>
        <w:rPr>
          <w:b/>
          <w:bCs/>
          <w:color w:val="000000"/>
          <w:sz w:val="32"/>
          <w:szCs w:val="32"/>
        </w:rPr>
        <w:t>Business Information System – Request for Tender</w:t>
      </w:r>
    </w:p>
    <w:p w14:paraId="42F41EF6" w14:textId="77777777" w:rsidR="00C975AD" w:rsidRDefault="00E73EDB">
      <w:pPr>
        <w:spacing w:before="120" w:after="600"/>
      </w:pPr>
      <w:r>
        <w:rPr>
          <w:i/>
          <w:iCs/>
          <w:color w:val="595959"/>
          <w:sz w:val="24"/>
          <w:szCs w:val="24"/>
        </w:rPr>
        <w:t>Structured response document for completion by tenderers. To be submitted via eTenders alongside the Pricing Schedule and Form of Tender. The electronic European Single Procurement Document (</w:t>
      </w:r>
      <w:proofErr w:type="spellStart"/>
      <w:r>
        <w:rPr>
          <w:i/>
          <w:iCs/>
          <w:color w:val="595959"/>
          <w:sz w:val="24"/>
          <w:szCs w:val="24"/>
        </w:rPr>
        <w:t>eESPD</w:t>
      </w:r>
      <w:proofErr w:type="spellEnd"/>
      <w:r>
        <w:rPr>
          <w:i/>
          <w:iCs/>
          <w:color w:val="595959"/>
          <w:sz w:val="24"/>
          <w:szCs w:val="24"/>
        </w:rPr>
        <w:t>) is completed online through the eTenders platform.</w:t>
      </w:r>
    </w:p>
    <w:p w14:paraId="2A548D40" w14:textId="77777777" w:rsidR="00C975AD" w:rsidRDefault="00C975AD">
      <w:pPr>
        <w:pBdr>
          <w:top w:val="single" w:sz="36" w:space="1" w:color="1F3864"/>
        </w:pBdr>
        <w:spacing w:after="240"/>
      </w:pPr>
    </w:p>
    <w:p w14:paraId="08BB877A" w14:textId="77777777" w:rsidR="00C975AD" w:rsidRDefault="00E73EDB">
      <w:pPr>
        <w:spacing w:before="120" w:after="80"/>
      </w:pPr>
      <w:r>
        <w:rPr>
          <w:b/>
          <w:bCs/>
        </w:rPr>
        <w:t xml:space="preserve">Companion document to: </w:t>
      </w:r>
      <w:r>
        <w:t>PHECC BIS Request for Tender</w:t>
      </w:r>
    </w:p>
    <w:p w14:paraId="1D4901C7" w14:textId="070570EA" w:rsidR="00C975AD" w:rsidRDefault="00E73EDB">
      <w:pPr>
        <w:spacing w:after="80"/>
      </w:pPr>
      <w:r>
        <w:rPr>
          <w:b/>
          <w:bCs/>
        </w:rPr>
        <w:t xml:space="preserve">RFT Reference: </w:t>
      </w:r>
      <w:r>
        <w:rPr>
          <w:b/>
          <w:bCs/>
          <w:color w:val="C00000"/>
        </w:rPr>
        <w:t>[</w:t>
      </w:r>
      <w:r w:rsidR="000B4A8B">
        <w:rPr>
          <w:b/>
          <w:bCs/>
          <w:color w:val="C00000"/>
        </w:rPr>
        <w:t>BIS062026</w:t>
      </w:r>
      <w:r>
        <w:rPr>
          <w:b/>
          <w:bCs/>
          <w:color w:val="C00000"/>
        </w:rPr>
        <w:t>]</w:t>
      </w:r>
    </w:p>
    <w:p w14:paraId="14D5FA73" w14:textId="77777777" w:rsidR="00C975AD" w:rsidRDefault="00E73EDB">
      <w:pPr>
        <w:spacing w:after="80"/>
      </w:pPr>
      <w:r>
        <w:rPr>
          <w:b/>
          <w:bCs/>
        </w:rPr>
        <w:t xml:space="preserve">Submission Deadline: </w:t>
      </w:r>
      <w:r>
        <w:t>29 July 2026 at 12:00 noon (Irish time)</w:t>
      </w:r>
    </w:p>
    <w:p w14:paraId="4314C000" w14:textId="77777777" w:rsidR="00C975AD" w:rsidRDefault="00E73EDB">
      <w:r>
        <w:br w:type="page"/>
      </w:r>
    </w:p>
    <w:p w14:paraId="0E16919A" w14:textId="77777777" w:rsidR="00C975AD" w:rsidRDefault="00E73EDB">
      <w:pPr>
        <w:pStyle w:val="Heading1"/>
      </w:pPr>
      <w:r>
        <w:lastRenderedPageBreak/>
        <w:t>Instructions for completion</w:t>
      </w:r>
    </w:p>
    <w:p w14:paraId="12DC6D02" w14:textId="77777777" w:rsidR="00C975AD" w:rsidRDefault="00E73EDB">
      <w:pPr>
        <w:spacing w:after="120" w:line="276" w:lineRule="auto"/>
      </w:pPr>
      <w:r>
        <w:rPr>
          <w:color w:val="000000"/>
        </w:rPr>
        <w:t>This document is the structured response template for the PHECC Business Information System tender. Tenderers must use this template for their written response to award criteria A, B, C and D as set out in section 7 of the Request for Tender (RFT).</w:t>
      </w:r>
    </w:p>
    <w:p w14:paraId="2D4E91B6" w14:textId="77777777" w:rsidR="00C975AD" w:rsidRDefault="00E73EDB">
      <w:pPr>
        <w:pStyle w:val="Heading2"/>
      </w:pPr>
      <w:r>
        <w:t>How to use this template</w:t>
      </w:r>
    </w:p>
    <w:p w14:paraId="3A38BE7F" w14:textId="77777777" w:rsidR="00C975AD" w:rsidRDefault="00E73EDB">
      <w:pPr>
        <w:pStyle w:val="ListParagraph"/>
        <w:numPr>
          <w:ilvl w:val="0"/>
          <w:numId w:val="2"/>
        </w:numPr>
        <w:spacing w:after="80" w:line="276" w:lineRule="auto"/>
      </w:pPr>
      <w:r>
        <w:rPr>
          <w:color w:val="000000"/>
        </w:rPr>
        <w:t>complete the cover sheet at section 1 with the tenderer's details</w:t>
      </w:r>
    </w:p>
    <w:p w14:paraId="2DF0DDA3" w14:textId="77777777" w:rsidR="00C975AD" w:rsidRDefault="00E73EDB">
      <w:pPr>
        <w:pStyle w:val="ListParagraph"/>
        <w:numPr>
          <w:ilvl w:val="0"/>
          <w:numId w:val="2"/>
        </w:numPr>
        <w:spacing w:after="80" w:line="276" w:lineRule="auto"/>
      </w:pPr>
      <w:r>
        <w:rPr>
          <w:color w:val="000000"/>
        </w:rPr>
        <w:t>provide a response to each prompt in sections A to D in the space marked '[Tenderer response here]'</w:t>
      </w:r>
    </w:p>
    <w:p w14:paraId="0C738558" w14:textId="77777777" w:rsidR="00C975AD" w:rsidRDefault="00E73EDB">
      <w:pPr>
        <w:pStyle w:val="ListParagraph"/>
        <w:numPr>
          <w:ilvl w:val="0"/>
          <w:numId w:val="2"/>
        </w:numPr>
        <w:spacing w:after="80" w:line="276" w:lineRule="auto"/>
      </w:pPr>
      <w:r>
        <w:rPr>
          <w:color w:val="000000"/>
        </w:rPr>
        <w:t>do not alter the structure of this document, the section headings or the prompts</w:t>
      </w:r>
    </w:p>
    <w:p w14:paraId="46CF2D40" w14:textId="77777777" w:rsidR="00C975AD" w:rsidRDefault="00E73EDB">
      <w:pPr>
        <w:pStyle w:val="ListParagraph"/>
        <w:numPr>
          <w:ilvl w:val="0"/>
          <w:numId w:val="2"/>
        </w:numPr>
        <w:spacing w:after="80" w:line="276" w:lineRule="auto"/>
      </w:pPr>
      <w:r>
        <w:rPr>
          <w:color w:val="000000"/>
        </w:rPr>
        <w:t>submit the completed template through eTenders as a PDF, together with the supporting documents listed in the submission checklist at Annex 1</w:t>
      </w:r>
    </w:p>
    <w:p w14:paraId="1507D781" w14:textId="77777777" w:rsidR="00C975AD" w:rsidRDefault="00E73EDB">
      <w:pPr>
        <w:pStyle w:val="ListParagraph"/>
        <w:numPr>
          <w:ilvl w:val="0"/>
          <w:numId w:val="2"/>
        </w:numPr>
        <w:spacing w:after="80" w:line="276" w:lineRule="auto"/>
      </w:pPr>
      <w:r>
        <w:rPr>
          <w:color w:val="000000"/>
        </w:rPr>
        <w:t>page limits apply per section and are stated at the start of each section.</w:t>
      </w:r>
    </w:p>
    <w:p w14:paraId="68E32EE0" w14:textId="77777777" w:rsidR="00C975AD" w:rsidRDefault="00E73EDB">
      <w:pPr>
        <w:pStyle w:val="Heading2"/>
      </w:pPr>
      <w:r>
        <w:t>Page limits and formatting</w:t>
      </w:r>
    </w:p>
    <w:p w14:paraId="6E8A3E5C" w14:textId="77777777" w:rsidR="00C975AD" w:rsidRDefault="00E73EDB">
      <w:pPr>
        <w:spacing w:after="120" w:line="276" w:lineRule="auto"/>
      </w:pPr>
      <w:r>
        <w:rPr>
          <w:color w:val="000000"/>
        </w:rPr>
        <w:t>Page limits are set per section and stated at the start of each section. The page limits are inclusive of all narrative, tables, diagrams, screenshots and references within that section. Page limits are not cumulative; unused pages in one section may not be carried into another. The following sit outside the page limits: cover sheet, table of contents, headers and footers, the Compliance Matrix, the Pricing Schedule, the Form of Tender, the Implementation Plan appendix at section C.2, statutory and regulato</w:t>
      </w:r>
      <w:r>
        <w:rPr>
          <w:color w:val="000000"/>
        </w:rPr>
        <w:t>ry evidence (insurance certificates, ISO certifications and equivalent), and the CVs of named key personnel.</w:t>
      </w:r>
    </w:p>
    <w:p w14:paraId="48873A58" w14:textId="77777777" w:rsidR="00C975AD" w:rsidRDefault="00E73EDB">
      <w:pPr>
        <w:spacing w:after="120" w:line="276" w:lineRule="auto"/>
      </w:pPr>
      <w:r>
        <w:rPr>
          <w:color w:val="000000"/>
        </w:rPr>
        <w:t>Material beyond the stated page limit for any section will not be evaluated by the evaluation panel. Tenderers should respect the page limits and avoid expanding content beyond what each section requires.</w:t>
      </w:r>
    </w:p>
    <w:p w14:paraId="06D6239B" w14:textId="77777777" w:rsidR="00C975AD" w:rsidRDefault="00E73EDB">
      <w:pPr>
        <w:spacing w:after="120" w:line="276" w:lineRule="auto"/>
      </w:pPr>
      <w:r>
        <w:rPr>
          <w:color w:val="000000"/>
        </w:rPr>
        <w:t>Formatting requirements:</w:t>
      </w:r>
    </w:p>
    <w:p w14:paraId="6020986B" w14:textId="77777777" w:rsidR="00C975AD" w:rsidRDefault="00E73EDB">
      <w:pPr>
        <w:pStyle w:val="ListParagraph"/>
        <w:numPr>
          <w:ilvl w:val="0"/>
          <w:numId w:val="2"/>
        </w:numPr>
        <w:spacing w:after="80" w:line="276" w:lineRule="auto"/>
      </w:pPr>
      <w:r>
        <w:rPr>
          <w:color w:val="000000"/>
        </w:rPr>
        <w:t xml:space="preserve">font: Calibri or Arial, minimum 11 point for body text; tables may drop to 10 </w:t>
      </w:r>
      <w:proofErr w:type="gramStart"/>
      <w:r>
        <w:rPr>
          <w:color w:val="000000"/>
        </w:rPr>
        <w:t>point</w:t>
      </w:r>
      <w:proofErr w:type="gramEnd"/>
    </w:p>
    <w:p w14:paraId="5D843A07" w14:textId="77777777" w:rsidR="00C975AD" w:rsidRDefault="00E73EDB">
      <w:pPr>
        <w:pStyle w:val="ListParagraph"/>
        <w:numPr>
          <w:ilvl w:val="0"/>
          <w:numId w:val="2"/>
        </w:numPr>
        <w:spacing w:after="80" w:line="276" w:lineRule="auto"/>
      </w:pPr>
      <w:r>
        <w:rPr>
          <w:color w:val="000000"/>
        </w:rPr>
        <w:t>page size: A4, portrait orientation</w:t>
      </w:r>
    </w:p>
    <w:p w14:paraId="34B313BB" w14:textId="77777777" w:rsidR="00C975AD" w:rsidRDefault="00E73EDB">
      <w:pPr>
        <w:pStyle w:val="ListParagraph"/>
        <w:numPr>
          <w:ilvl w:val="0"/>
          <w:numId w:val="2"/>
        </w:numPr>
        <w:spacing w:after="80" w:line="276" w:lineRule="auto"/>
      </w:pPr>
      <w:r>
        <w:rPr>
          <w:color w:val="000000"/>
        </w:rPr>
        <w:t>margins: minimum 2cm on all sides</w:t>
      </w:r>
    </w:p>
    <w:p w14:paraId="5508CA12" w14:textId="77777777" w:rsidR="00C975AD" w:rsidRDefault="00E73EDB">
      <w:pPr>
        <w:pStyle w:val="ListParagraph"/>
        <w:numPr>
          <w:ilvl w:val="0"/>
          <w:numId w:val="2"/>
        </w:numPr>
        <w:spacing w:after="80" w:line="276" w:lineRule="auto"/>
      </w:pPr>
      <w:r>
        <w:rPr>
          <w:color w:val="000000"/>
        </w:rPr>
        <w:t>line spacing: minimum 1.15 (not single-spaced)</w:t>
      </w:r>
    </w:p>
    <w:p w14:paraId="4D3CE5E9" w14:textId="77777777" w:rsidR="00C975AD" w:rsidRDefault="00E73EDB">
      <w:pPr>
        <w:pStyle w:val="Heading2"/>
      </w:pPr>
      <w:r>
        <w:t>Companion documents</w:t>
      </w:r>
    </w:p>
    <w:p w14:paraId="344CFF86" w14:textId="77777777" w:rsidR="00C975AD" w:rsidRDefault="00E73EDB">
      <w:pPr>
        <w:spacing w:after="120" w:line="276" w:lineRule="auto"/>
      </w:pPr>
      <w:r>
        <w:rPr>
          <w:color w:val="000000"/>
        </w:rPr>
        <w:t xml:space="preserve">This Response Template is one of several </w:t>
      </w:r>
      <w:proofErr w:type="gramStart"/>
      <w:r>
        <w:rPr>
          <w:color w:val="000000"/>
        </w:rPr>
        <w:t>documents</w:t>
      </w:r>
      <w:proofErr w:type="gramEnd"/>
      <w:r>
        <w:rPr>
          <w:color w:val="000000"/>
        </w:rPr>
        <w:t xml:space="preserve"> tenderers must complete. The full set is:</w:t>
      </w:r>
    </w:p>
    <w:p w14:paraId="08F39665" w14:textId="77777777" w:rsidR="00C975AD" w:rsidRDefault="00E73EDB">
      <w:pPr>
        <w:pStyle w:val="ListParagraph"/>
        <w:numPr>
          <w:ilvl w:val="0"/>
          <w:numId w:val="2"/>
        </w:numPr>
        <w:spacing w:after="80" w:line="276" w:lineRule="auto"/>
      </w:pPr>
      <w:r>
        <w:rPr>
          <w:color w:val="000000"/>
        </w:rPr>
        <w:t>this Response Templates document, covering the written quality response (criteria A to D)</w:t>
      </w:r>
    </w:p>
    <w:p w14:paraId="03DD4496" w14:textId="77777777" w:rsidR="00C975AD" w:rsidRDefault="00E73EDB">
      <w:pPr>
        <w:pStyle w:val="ListParagraph"/>
        <w:numPr>
          <w:ilvl w:val="0"/>
          <w:numId w:val="2"/>
        </w:numPr>
        <w:spacing w:after="80" w:line="276" w:lineRule="auto"/>
      </w:pPr>
      <w:r>
        <w:rPr>
          <w:color w:val="000000"/>
        </w:rPr>
        <w:t>the Pricing Schedule, covering price (criterion F)</w:t>
      </w:r>
    </w:p>
    <w:p w14:paraId="5A9CE231" w14:textId="77777777" w:rsidR="00C975AD" w:rsidRDefault="00E73EDB">
      <w:pPr>
        <w:pStyle w:val="ListParagraph"/>
        <w:numPr>
          <w:ilvl w:val="0"/>
          <w:numId w:val="2"/>
        </w:numPr>
        <w:spacing w:after="80" w:line="276" w:lineRule="auto"/>
      </w:pPr>
      <w:r>
        <w:rPr>
          <w:color w:val="000000"/>
        </w:rPr>
        <w:t>the Form of Tender, signed declaration that the tender is bona fide and binding</w:t>
      </w:r>
    </w:p>
    <w:p w14:paraId="4F9E5861" w14:textId="77777777" w:rsidR="00C975AD" w:rsidRDefault="00E73EDB">
      <w:pPr>
        <w:pStyle w:val="ListParagraph"/>
        <w:numPr>
          <w:ilvl w:val="0"/>
          <w:numId w:val="2"/>
        </w:numPr>
        <w:spacing w:after="80" w:line="276" w:lineRule="auto"/>
      </w:pPr>
      <w:r>
        <w:rPr>
          <w:color w:val="000000"/>
        </w:rPr>
        <w:t>the electronic European Single Procurement Document (</w:t>
      </w:r>
      <w:proofErr w:type="spellStart"/>
      <w:r>
        <w:rPr>
          <w:color w:val="000000"/>
        </w:rPr>
        <w:t>eESPD</w:t>
      </w:r>
      <w:proofErr w:type="spellEnd"/>
      <w:r>
        <w:rPr>
          <w:color w:val="000000"/>
        </w:rPr>
        <w:t>), self-declaration on selection criteria, completed online through eTenders</w:t>
      </w:r>
    </w:p>
    <w:p w14:paraId="08B14E45" w14:textId="77777777" w:rsidR="00C975AD" w:rsidRDefault="00E73EDB">
      <w:pPr>
        <w:pStyle w:val="ListParagraph"/>
        <w:numPr>
          <w:ilvl w:val="0"/>
          <w:numId w:val="2"/>
        </w:numPr>
        <w:spacing w:after="80" w:line="276" w:lineRule="auto"/>
      </w:pPr>
      <w:r>
        <w:rPr>
          <w:color w:val="000000"/>
        </w:rPr>
        <w:lastRenderedPageBreak/>
        <w:t>the Compliance Matrix, structured per-requirement response against the Specification (issued as a separate Excel template).</w:t>
      </w:r>
    </w:p>
    <w:p w14:paraId="1514560E" w14:textId="77777777" w:rsidR="00C975AD" w:rsidRDefault="00E73EDB">
      <w:pPr>
        <w:spacing w:after="120" w:line="276" w:lineRule="auto"/>
      </w:pPr>
      <w:r>
        <w:rPr>
          <w:color w:val="000000"/>
        </w:rPr>
        <w:t>The Competitive Technical Demonstration (Criterion E) is conducted in person at Stage 2 of evaluation and does not require a written submission. Tenderers invited to the demonstration stage will receive scenario detail at that point.</w:t>
      </w:r>
    </w:p>
    <w:p w14:paraId="48361846" w14:textId="77777777" w:rsidR="00C975AD" w:rsidRDefault="00E73EDB">
      <w:pPr>
        <w:pStyle w:val="Heading2"/>
      </w:pPr>
      <w:r>
        <w:t>Scoring</w:t>
      </w:r>
    </w:p>
    <w:p w14:paraId="5E4E1051" w14:textId="77777777" w:rsidR="00C975AD" w:rsidRDefault="00E73EDB">
      <w:pPr>
        <w:spacing w:after="120" w:line="276" w:lineRule="auto"/>
      </w:pPr>
      <w:r>
        <w:rPr>
          <w:color w:val="000000"/>
        </w:rPr>
        <w:t>Each response section (A to D) is scored against the criteria and methodology set out in section 7 of the RFT. The scoring scale is 0 to 5, converted to the section's weighting. The minimum threshold on criterion A is 60%.</w:t>
      </w:r>
    </w:p>
    <w:p w14:paraId="73D4D9ED" w14:textId="77777777" w:rsidR="00C975AD" w:rsidRDefault="00E73EDB">
      <w:pPr>
        <w:spacing w:after="120" w:line="276" w:lineRule="auto"/>
      </w:pPr>
      <w:r>
        <w:rPr>
          <w:color w:val="000000"/>
        </w:rPr>
        <w:t>Mandatory technical requirements (section 7.2 of the RFT) are assessed on a pass or fail basis in advance of scored evaluation. Failure on any mandatory technical requirement results in exclusion regardless of overall score. The mandatory technical requirements are recorded in the Compliance Matrix and addressed in the relevant prompts in sections A and B.</w:t>
      </w:r>
    </w:p>
    <w:p w14:paraId="47B94585" w14:textId="77777777" w:rsidR="00C975AD" w:rsidRDefault="00E73EDB">
      <w:pPr>
        <w:pStyle w:val="Heading2"/>
      </w:pPr>
      <w:r>
        <w:t>Confidentiality</w:t>
      </w:r>
    </w:p>
    <w:p w14:paraId="29ACD2DD" w14:textId="77777777" w:rsidR="00C975AD" w:rsidRDefault="00E73EDB">
      <w:pPr>
        <w:spacing w:after="120" w:line="276" w:lineRule="auto"/>
      </w:pPr>
      <w:r>
        <w:rPr>
          <w:color w:val="000000"/>
        </w:rPr>
        <w:t>Tenderers should identify any commercially sensitive material in their response in line with section 5.8 of the RFT.</w:t>
      </w:r>
    </w:p>
    <w:p w14:paraId="66223011" w14:textId="77777777" w:rsidR="00C975AD" w:rsidRDefault="00E73EDB">
      <w:r>
        <w:br w:type="page"/>
      </w:r>
    </w:p>
    <w:p w14:paraId="489AD677" w14:textId="77777777" w:rsidR="00C975AD" w:rsidRDefault="00E73EDB">
      <w:pPr>
        <w:pStyle w:val="Heading1"/>
      </w:pPr>
      <w:r>
        <w:lastRenderedPageBreak/>
        <w:t>1. Tenderer cover sheet</w:t>
      </w:r>
    </w:p>
    <w:p w14:paraId="77226859" w14:textId="77777777" w:rsidR="00C975AD" w:rsidRDefault="00E73EDB">
      <w:pPr>
        <w:spacing w:after="120" w:line="276" w:lineRule="auto"/>
      </w:pPr>
      <w:r>
        <w:rPr>
          <w:color w:val="000000"/>
        </w:rPr>
        <w:t>Complete the table below with the tenderer's details. Where the tenderer is a consortium, complete the table for the lead member and identify other consortium members in the rows provided. Sub-contractors who will deliver any material part of the contract must be named.</w:t>
      </w:r>
    </w:p>
    <w:p w14:paraId="7E0A055B"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72"/>
      </w:tblGrid>
      <w:tr w:rsidR="00C975AD" w14:paraId="6545E1E8" w14:textId="77777777">
        <w:tc>
          <w:tcPr>
            <w:tcW w:w="2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617C6AF8" w14:textId="77777777" w:rsidR="00C975AD" w:rsidRDefault="00E73EDB">
            <w:pPr>
              <w:spacing w:before="40" w:after="40"/>
            </w:pPr>
            <w:r>
              <w:rPr>
                <w:b/>
                <w:bCs/>
                <w:color w:val="000000"/>
              </w:rPr>
              <w:t>Legal name of tenderer</w:t>
            </w:r>
          </w:p>
        </w:tc>
        <w:tc>
          <w:tcPr>
            <w:tcW w:w="62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D20901F" w14:textId="77777777" w:rsidR="00C975AD" w:rsidRDefault="00E73EDB">
            <w:pPr>
              <w:spacing w:before="120" w:after="120"/>
            </w:pPr>
            <w:r>
              <w:rPr>
                <w:i/>
                <w:iCs/>
                <w:color w:val="808080"/>
              </w:rPr>
              <w:t>[Tenderer to complete]</w:t>
            </w:r>
          </w:p>
        </w:tc>
      </w:tr>
      <w:tr w:rsidR="00C975AD" w14:paraId="5D240DC8" w14:textId="77777777">
        <w:tc>
          <w:tcPr>
            <w:tcW w:w="2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44F869CE" w14:textId="77777777" w:rsidR="00C975AD" w:rsidRDefault="00E73EDB">
            <w:pPr>
              <w:spacing w:before="40" w:after="40"/>
            </w:pPr>
            <w:r>
              <w:rPr>
                <w:b/>
                <w:bCs/>
                <w:color w:val="000000"/>
              </w:rPr>
              <w:t>Trading name (if different)</w:t>
            </w:r>
          </w:p>
        </w:tc>
        <w:tc>
          <w:tcPr>
            <w:tcW w:w="62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8FFEC97" w14:textId="77777777" w:rsidR="00C975AD" w:rsidRDefault="00E73EDB">
            <w:pPr>
              <w:spacing w:before="120" w:after="120"/>
            </w:pPr>
            <w:r>
              <w:rPr>
                <w:i/>
                <w:iCs/>
                <w:color w:val="808080"/>
              </w:rPr>
              <w:t>[Tenderer to complete]</w:t>
            </w:r>
          </w:p>
        </w:tc>
      </w:tr>
      <w:tr w:rsidR="00C975AD" w14:paraId="56904E5D" w14:textId="77777777">
        <w:tc>
          <w:tcPr>
            <w:tcW w:w="2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4B31A2F3" w14:textId="77777777" w:rsidR="00C975AD" w:rsidRDefault="00E73EDB">
            <w:pPr>
              <w:spacing w:before="40" w:after="40"/>
            </w:pPr>
            <w:r>
              <w:rPr>
                <w:b/>
                <w:bCs/>
                <w:color w:val="000000"/>
              </w:rPr>
              <w:t>Country of registration</w:t>
            </w:r>
          </w:p>
        </w:tc>
        <w:tc>
          <w:tcPr>
            <w:tcW w:w="62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A451054" w14:textId="77777777" w:rsidR="00C975AD" w:rsidRDefault="00E73EDB">
            <w:pPr>
              <w:spacing w:before="120" w:after="120"/>
            </w:pPr>
            <w:r>
              <w:rPr>
                <w:i/>
                <w:iCs/>
                <w:color w:val="808080"/>
              </w:rPr>
              <w:t>[Tenderer to complete]</w:t>
            </w:r>
          </w:p>
        </w:tc>
      </w:tr>
      <w:tr w:rsidR="00C975AD" w14:paraId="71052B4B" w14:textId="77777777">
        <w:tc>
          <w:tcPr>
            <w:tcW w:w="2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791B3C8B" w14:textId="77777777" w:rsidR="00C975AD" w:rsidRDefault="00E73EDB">
            <w:pPr>
              <w:spacing w:before="40" w:after="40"/>
            </w:pPr>
            <w:r>
              <w:rPr>
                <w:b/>
                <w:bCs/>
                <w:color w:val="000000"/>
              </w:rPr>
              <w:t>Company registration number</w:t>
            </w:r>
          </w:p>
        </w:tc>
        <w:tc>
          <w:tcPr>
            <w:tcW w:w="62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4EE9CE1" w14:textId="77777777" w:rsidR="00C975AD" w:rsidRDefault="00E73EDB">
            <w:pPr>
              <w:spacing w:before="120" w:after="120"/>
            </w:pPr>
            <w:r>
              <w:rPr>
                <w:i/>
                <w:iCs/>
                <w:color w:val="808080"/>
              </w:rPr>
              <w:t>[Tenderer to complete]</w:t>
            </w:r>
          </w:p>
        </w:tc>
      </w:tr>
      <w:tr w:rsidR="00C975AD" w14:paraId="2FA85DD5" w14:textId="77777777">
        <w:tc>
          <w:tcPr>
            <w:tcW w:w="2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6E5AC7FE" w14:textId="77777777" w:rsidR="00C975AD" w:rsidRDefault="00E73EDB">
            <w:pPr>
              <w:spacing w:before="40" w:after="40"/>
            </w:pPr>
            <w:r>
              <w:rPr>
                <w:b/>
                <w:bCs/>
                <w:color w:val="000000"/>
              </w:rPr>
              <w:t>VAT number</w:t>
            </w:r>
          </w:p>
        </w:tc>
        <w:tc>
          <w:tcPr>
            <w:tcW w:w="62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BB73CE8" w14:textId="77777777" w:rsidR="00C975AD" w:rsidRDefault="00E73EDB">
            <w:pPr>
              <w:spacing w:before="120" w:after="120"/>
            </w:pPr>
            <w:r>
              <w:rPr>
                <w:i/>
                <w:iCs/>
                <w:color w:val="808080"/>
              </w:rPr>
              <w:t>[Tenderer to complete]</w:t>
            </w:r>
          </w:p>
        </w:tc>
      </w:tr>
      <w:tr w:rsidR="00C975AD" w14:paraId="260924F4" w14:textId="77777777">
        <w:tc>
          <w:tcPr>
            <w:tcW w:w="2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69248E24" w14:textId="77777777" w:rsidR="00C975AD" w:rsidRDefault="00E73EDB">
            <w:pPr>
              <w:spacing w:before="40" w:after="40"/>
            </w:pPr>
            <w:r>
              <w:rPr>
                <w:b/>
                <w:bCs/>
                <w:color w:val="000000"/>
              </w:rPr>
              <w:t>Tax reference number</w:t>
            </w:r>
          </w:p>
        </w:tc>
        <w:tc>
          <w:tcPr>
            <w:tcW w:w="62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A6DEC25" w14:textId="77777777" w:rsidR="00C975AD" w:rsidRDefault="00E73EDB">
            <w:pPr>
              <w:spacing w:before="120" w:after="120"/>
            </w:pPr>
            <w:r>
              <w:rPr>
                <w:i/>
                <w:iCs/>
                <w:color w:val="808080"/>
              </w:rPr>
              <w:t>[Tenderer to complete]</w:t>
            </w:r>
          </w:p>
        </w:tc>
      </w:tr>
      <w:tr w:rsidR="00C975AD" w14:paraId="264E7BF2" w14:textId="77777777">
        <w:tc>
          <w:tcPr>
            <w:tcW w:w="2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47DB727E" w14:textId="77777777" w:rsidR="00C975AD" w:rsidRDefault="00E73EDB">
            <w:pPr>
              <w:spacing w:before="40" w:after="40"/>
            </w:pPr>
            <w:r>
              <w:rPr>
                <w:b/>
                <w:bCs/>
                <w:color w:val="000000"/>
              </w:rPr>
              <w:t>Registered address</w:t>
            </w:r>
          </w:p>
        </w:tc>
        <w:tc>
          <w:tcPr>
            <w:tcW w:w="62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8C41B0C" w14:textId="77777777" w:rsidR="00C975AD" w:rsidRDefault="00E73EDB">
            <w:pPr>
              <w:spacing w:before="120" w:after="120"/>
            </w:pPr>
            <w:r>
              <w:rPr>
                <w:i/>
                <w:iCs/>
                <w:color w:val="808080"/>
              </w:rPr>
              <w:t>[Tenderer to complete]</w:t>
            </w:r>
          </w:p>
        </w:tc>
      </w:tr>
      <w:tr w:rsidR="00C975AD" w14:paraId="07228FD9" w14:textId="77777777">
        <w:tc>
          <w:tcPr>
            <w:tcW w:w="2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2BF5AB90" w14:textId="77777777" w:rsidR="00C975AD" w:rsidRDefault="00E73EDB">
            <w:pPr>
              <w:spacing w:before="40" w:after="40"/>
            </w:pPr>
            <w:r>
              <w:rPr>
                <w:b/>
                <w:bCs/>
                <w:color w:val="000000"/>
              </w:rPr>
              <w:t>Correspondence address (if different)</w:t>
            </w:r>
          </w:p>
        </w:tc>
        <w:tc>
          <w:tcPr>
            <w:tcW w:w="62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AC37314" w14:textId="77777777" w:rsidR="00C975AD" w:rsidRDefault="00E73EDB">
            <w:pPr>
              <w:spacing w:before="120" w:after="120"/>
            </w:pPr>
            <w:r>
              <w:rPr>
                <w:i/>
                <w:iCs/>
                <w:color w:val="808080"/>
              </w:rPr>
              <w:t>[Tenderer to complete]</w:t>
            </w:r>
          </w:p>
        </w:tc>
      </w:tr>
      <w:tr w:rsidR="00C975AD" w14:paraId="75807820" w14:textId="77777777">
        <w:tc>
          <w:tcPr>
            <w:tcW w:w="2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53F5398B" w14:textId="77777777" w:rsidR="00C975AD" w:rsidRDefault="00E73EDB">
            <w:pPr>
              <w:spacing w:before="40" w:after="40"/>
            </w:pPr>
            <w:r>
              <w:rPr>
                <w:b/>
                <w:bCs/>
                <w:color w:val="000000"/>
              </w:rPr>
              <w:t>Primary contact name</w:t>
            </w:r>
          </w:p>
        </w:tc>
        <w:tc>
          <w:tcPr>
            <w:tcW w:w="62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1AD6ECE" w14:textId="77777777" w:rsidR="00C975AD" w:rsidRDefault="00E73EDB">
            <w:pPr>
              <w:spacing w:before="120" w:after="120"/>
            </w:pPr>
            <w:r>
              <w:rPr>
                <w:i/>
                <w:iCs/>
                <w:color w:val="808080"/>
              </w:rPr>
              <w:t>[Tenderer to complete]</w:t>
            </w:r>
          </w:p>
        </w:tc>
      </w:tr>
      <w:tr w:rsidR="00C975AD" w14:paraId="61301188" w14:textId="77777777">
        <w:tc>
          <w:tcPr>
            <w:tcW w:w="2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5C8D52AB" w14:textId="77777777" w:rsidR="00C975AD" w:rsidRDefault="00E73EDB">
            <w:pPr>
              <w:spacing w:before="40" w:after="40"/>
            </w:pPr>
            <w:r>
              <w:rPr>
                <w:b/>
                <w:bCs/>
                <w:color w:val="000000"/>
              </w:rPr>
              <w:t>Primary contact role</w:t>
            </w:r>
          </w:p>
        </w:tc>
        <w:tc>
          <w:tcPr>
            <w:tcW w:w="62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4A96262" w14:textId="77777777" w:rsidR="00C975AD" w:rsidRDefault="00E73EDB">
            <w:pPr>
              <w:spacing w:before="120" w:after="120"/>
            </w:pPr>
            <w:r>
              <w:rPr>
                <w:i/>
                <w:iCs/>
                <w:color w:val="808080"/>
              </w:rPr>
              <w:t>[Tenderer to complete]</w:t>
            </w:r>
          </w:p>
        </w:tc>
      </w:tr>
      <w:tr w:rsidR="00C975AD" w14:paraId="45B25459" w14:textId="77777777">
        <w:tc>
          <w:tcPr>
            <w:tcW w:w="2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0C1D76A3" w14:textId="77777777" w:rsidR="00C975AD" w:rsidRDefault="00E73EDB">
            <w:pPr>
              <w:spacing w:before="40" w:after="40"/>
            </w:pPr>
            <w:r>
              <w:rPr>
                <w:b/>
                <w:bCs/>
                <w:color w:val="000000"/>
              </w:rPr>
              <w:t>Primary contact email</w:t>
            </w:r>
          </w:p>
        </w:tc>
        <w:tc>
          <w:tcPr>
            <w:tcW w:w="62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15CF1BA" w14:textId="77777777" w:rsidR="00C975AD" w:rsidRDefault="00E73EDB">
            <w:pPr>
              <w:spacing w:before="120" w:after="120"/>
            </w:pPr>
            <w:r>
              <w:rPr>
                <w:i/>
                <w:iCs/>
                <w:color w:val="808080"/>
              </w:rPr>
              <w:t>[Tenderer to complete]</w:t>
            </w:r>
          </w:p>
        </w:tc>
      </w:tr>
      <w:tr w:rsidR="00C975AD" w14:paraId="53A7E95D" w14:textId="77777777">
        <w:tc>
          <w:tcPr>
            <w:tcW w:w="2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655AA3C3" w14:textId="77777777" w:rsidR="00C975AD" w:rsidRDefault="00E73EDB">
            <w:pPr>
              <w:spacing w:before="40" w:after="40"/>
            </w:pPr>
            <w:r>
              <w:rPr>
                <w:b/>
                <w:bCs/>
                <w:color w:val="000000"/>
              </w:rPr>
              <w:t>Primary contact phone</w:t>
            </w:r>
          </w:p>
        </w:tc>
        <w:tc>
          <w:tcPr>
            <w:tcW w:w="62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14949FA" w14:textId="77777777" w:rsidR="00C975AD" w:rsidRDefault="00E73EDB">
            <w:pPr>
              <w:spacing w:before="120" w:after="120"/>
            </w:pPr>
            <w:r>
              <w:rPr>
                <w:i/>
                <w:iCs/>
                <w:color w:val="808080"/>
              </w:rPr>
              <w:t>[Tenderer to complete]</w:t>
            </w:r>
          </w:p>
        </w:tc>
      </w:tr>
      <w:tr w:rsidR="00C975AD" w14:paraId="0111D53C" w14:textId="77777777">
        <w:tc>
          <w:tcPr>
            <w:tcW w:w="2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6BB0840D" w14:textId="77777777" w:rsidR="00C975AD" w:rsidRDefault="00E73EDB">
            <w:pPr>
              <w:spacing w:before="40" w:after="40"/>
            </w:pPr>
            <w:r>
              <w:rPr>
                <w:b/>
                <w:bCs/>
                <w:color w:val="000000"/>
              </w:rPr>
              <w:t>Lead consortium member (if applicable)</w:t>
            </w:r>
          </w:p>
        </w:tc>
        <w:tc>
          <w:tcPr>
            <w:tcW w:w="62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DC6DCCF" w14:textId="77777777" w:rsidR="00C975AD" w:rsidRDefault="00E73EDB">
            <w:pPr>
              <w:spacing w:before="120" w:after="120"/>
            </w:pPr>
            <w:r>
              <w:rPr>
                <w:i/>
                <w:iCs/>
                <w:color w:val="808080"/>
              </w:rPr>
              <w:t>[Tenderer to complete]</w:t>
            </w:r>
          </w:p>
        </w:tc>
      </w:tr>
      <w:tr w:rsidR="00C975AD" w14:paraId="423513C4" w14:textId="77777777">
        <w:tc>
          <w:tcPr>
            <w:tcW w:w="2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242DFECB" w14:textId="77777777" w:rsidR="00C975AD" w:rsidRDefault="00E73EDB">
            <w:pPr>
              <w:spacing w:before="40" w:after="40"/>
            </w:pPr>
            <w:r>
              <w:rPr>
                <w:b/>
                <w:bCs/>
                <w:color w:val="000000"/>
              </w:rPr>
              <w:t>Other consortium members (if applicable)</w:t>
            </w:r>
          </w:p>
        </w:tc>
        <w:tc>
          <w:tcPr>
            <w:tcW w:w="62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3947ABB" w14:textId="77777777" w:rsidR="00C975AD" w:rsidRDefault="00E73EDB">
            <w:pPr>
              <w:spacing w:before="120" w:after="120"/>
            </w:pPr>
            <w:r>
              <w:rPr>
                <w:i/>
                <w:iCs/>
                <w:color w:val="808080"/>
              </w:rPr>
              <w:t>[Tenderer to complete]</w:t>
            </w:r>
          </w:p>
        </w:tc>
      </w:tr>
      <w:tr w:rsidR="00C975AD" w14:paraId="1566FB54" w14:textId="77777777">
        <w:tc>
          <w:tcPr>
            <w:tcW w:w="28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09440E66" w14:textId="77777777" w:rsidR="00C975AD" w:rsidRDefault="00E73EDB">
            <w:pPr>
              <w:spacing w:before="40" w:after="40"/>
            </w:pPr>
            <w:r>
              <w:rPr>
                <w:b/>
                <w:bCs/>
                <w:color w:val="000000"/>
              </w:rPr>
              <w:t>Sub-contractors named in this response</w:t>
            </w:r>
          </w:p>
        </w:tc>
        <w:tc>
          <w:tcPr>
            <w:tcW w:w="6272"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2E92617" w14:textId="77777777" w:rsidR="00C975AD" w:rsidRDefault="00E73EDB">
            <w:pPr>
              <w:spacing w:before="120" w:after="120"/>
            </w:pPr>
            <w:r>
              <w:rPr>
                <w:i/>
                <w:iCs/>
                <w:color w:val="808080"/>
              </w:rPr>
              <w:t>[Tenderer to complete]</w:t>
            </w:r>
          </w:p>
        </w:tc>
      </w:tr>
    </w:tbl>
    <w:p w14:paraId="2AC4771F" w14:textId="77777777" w:rsidR="00C975AD" w:rsidRDefault="00E73EDB">
      <w:r>
        <w:br w:type="page"/>
      </w:r>
    </w:p>
    <w:p w14:paraId="4E1A9D2E" w14:textId="77777777" w:rsidR="00C975AD" w:rsidRDefault="00E73EDB">
      <w:pPr>
        <w:pStyle w:val="Heading1"/>
      </w:pPr>
      <w:r>
        <w:lastRenderedPageBreak/>
        <w:t>A. Functional response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6"/>
        <w:gridCol w:w="4536"/>
      </w:tblGrid>
      <w:tr w:rsidR="00C975AD" w14:paraId="60743FEA" w14:textId="77777777">
        <w:tc>
          <w:tcPr>
            <w:tcW w:w="4536"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6E0CBB09" w14:textId="77777777" w:rsidR="00C975AD" w:rsidRDefault="00E73EDB">
            <w:pPr>
              <w:spacing w:before="60" w:after="60"/>
            </w:pPr>
            <w:r>
              <w:rPr>
                <w:b/>
                <w:bCs/>
              </w:rPr>
              <w:t>Weighting: 20% of total score (minimum threshold 60% to progress to demonstration stage)</w:t>
            </w:r>
          </w:p>
        </w:tc>
        <w:tc>
          <w:tcPr>
            <w:tcW w:w="4536"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7970337D" w14:textId="77777777" w:rsidR="00C975AD" w:rsidRDefault="00E73EDB">
            <w:pPr>
              <w:spacing w:before="60" w:after="60"/>
            </w:pPr>
            <w:r>
              <w:rPr>
                <w:b/>
                <w:bCs/>
              </w:rPr>
              <w:t>Page limit: 8 pages (excluding the Compliance Matrix, submitted separately)</w:t>
            </w:r>
          </w:p>
        </w:tc>
      </w:tr>
    </w:tbl>
    <w:p w14:paraId="66C4D770" w14:textId="77777777" w:rsidR="00C975AD" w:rsidRDefault="00C975AD"/>
    <w:p w14:paraId="2889BEF4" w14:textId="77777777" w:rsidR="00C975AD" w:rsidRDefault="00E73EDB">
      <w:pPr>
        <w:spacing w:after="120" w:line="276" w:lineRule="auto"/>
      </w:pPr>
      <w:r>
        <w:rPr>
          <w:color w:val="000000"/>
        </w:rPr>
        <w:t>Section A assesses the alignment of the proposed solution to PHECC's functional requirements as set out in the Specification document. Tenderers must respond to each prompt below. The Compliance Matrix (separate Excel template) records per-requirement compliance; this section assesses thematic functional fit, approach to gaps and approach to the user experience for each primary actor group.</w:t>
      </w:r>
    </w:p>
    <w:p w14:paraId="476F5342" w14:textId="77777777" w:rsidR="00C975AD" w:rsidRDefault="00E73EDB">
      <w:pPr>
        <w:pBdr>
          <w:left w:val="single" w:sz="18" w:space="0" w:color="C55A11"/>
        </w:pBdr>
        <w:spacing w:before="120" w:after="120"/>
        <w:ind w:left="200"/>
      </w:pPr>
      <w:r>
        <w:rPr>
          <w:b/>
          <w:bCs/>
          <w:color w:val="1F3864"/>
        </w:rPr>
        <w:t xml:space="preserve">Response expectations: </w:t>
      </w:r>
      <w:r>
        <w:t>Tenderers should provide clear, specific and solution-based responses. Generic marketing material, vague claims or references to future capability without supporting explanation may receive lower scores. Evidence-based answers grounded in the proposed solution are expected.</w:t>
      </w:r>
    </w:p>
    <w:p w14:paraId="14D9E2CC" w14:textId="77777777" w:rsidR="00C975AD" w:rsidRDefault="00E73EDB">
      <w:pPr>
        <w:pStyle w:val="Heading2"/>
      </w:pPr>
      <w:r>
        <w:t>A.1 Overall approach to functional fit</w:t>
      </w:r>
    </w:p>
    <w:p w14:paraId="05DE5B18" w14:textId="77777777" w:rsidR="00C975AD" w:rsidRDefault="00E73EDB">
      <w:pPr>
        <w:spacing w:before="120" w:after="80"/>
      </w:pPr>
      <w:r>
        <w:rPr>
          <w:b/>
          <w:bCs/>
        </w:rPr>
        <w:t>Response should address:</w:t>
      </w:r>
    </w:p>
    <w:p w14:paraId="3E5956ED" w14:textId="77777777" w:rsidR="00C975AD" w:rsidRDefault="00E73EDB">
      <w:pPr>
        <w:pStyle w:val="ListParagraph"/>
        <w:numPr>
          <w:ilvl w:val="0"/>
          <w:numId w:val="2"/>
        </w:numPr>
        <w:spacing w:after="60" w:line="276" w:lineRule="auto"/>
      </w:pPr>
      <w:r>
        <w:t>The Section A narrative is the framing around the Compliance Matrix; it is not a requirement-by-requirement reading. The Compliance Matrix is submitted as a separate Excel template and carries per-requirement compliance responses. The Section A narrative explains how the proposed solution maps to PHECC's business and across the five business areas (Registration, Examinations integration, Accreditation, Recognition of Qualifications, and Recognised Institutions and Approved Training Institutions) plus the cr</w:t>
      </w:r>
      <w:r>
        <w:t>oss-module functions; demonstrates comparable delivery experience; and addresses any material gaps.</w:t>
      </w:r>
    </w:p>
    <w:p w14:paraId="04688636" w14:textId="77777777" w:rsidR="00C975AD" w:rsidRDefault="00E73EDB">
      <w:pPr>
        <w:pStyle w:val="ListParagraph"/>
        <w:numPr>
          <w:ilvl w:val="0"/>
          <w:numId w:val="2"/>
        </w:numPr>
        <w:spacing w:after="60" w:line="276" w:lineRule="auto"/>
      </w:pPr>
      <w:r>
        <w:t>the tenderer's understanding of PHECC's role as an Irish statutory regulatory body and what that implies for the BIS</w:t>
      </w:r>
    </w:p>
    <w:p w14:paraId="38F17D5D" w14:textId="77777777" w:rsidR="00C975AD" w:rsidRDefault="00E73EDB">
      <w:pPr>
        <w:pStyle w:val="ListParagraph"/>
        <w:numPr>
          <w:ilvl w:val="0"/>
          <w:numId w:val="2"/>
        </w:numPr>
        <w:spacing w:after="60" w:line="276" w:lineRule="auto"/>
      </w:pPr>
      <w:r>
        <w:t>the proposed approach to configuring the platform to PHECC's specific workflows, including where standard product capability is used and where configuration or customisation is proposed</w:t>
      </w:r>
    </w:p>
    <w:p w14:paraId="23633805" w14:textId="77777777" w:rsidR="00C975AD" w:rsidRDefault="00E73EDB">
      <w:pPr>
        <w:pStyle w:val="ListParagraph"/>
        <w:numPr>
          <w:ilvl w:val="0"/>
          <w:numId w:val="2"/>
        </w:numPr>
        <w:spacing w:after="60" w:line="276" w:lineRule="auto"/>
      </w:pPr>
      <w:r>
        <w:t>treatment of MoSCoW must-haves versus should-haves: confirmation that all must-haves are met, and approach where they are not</w:t>
      </w:r>
    </w:p>
    <w:p w14:paraId="3068EC7D"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2E00C753"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444534A0" w14:textId="77777777" w:rsidR="00C975AD" w:rsidRDefault="00E73EDB">
            <w:r>
              <w:rPr>
                <w:i/>
                <w:iCs/>
                <w:color w:val="808080"/>
              </w:rPr>
              <w:t>[Tenderer response here]</w:t>
            </w:r>
          </w:p>
        </w:tc>
      </w:tr>
    </w:tbl>
    <w:p w14:paraId="6EEB95E3" w14:textId="77777777" w:rsidR="00C975AD" w:rsidRDefault="00E73EDB">
      <w:r>
        <w:br w:type="page"/>
      </w:r>
    </w:p>
    <w:p w14:paraId="5EE22464" w14:textId="77777777" w:rsidR="00C975AD" w:rsidRDefault="00E73EDB">
      <w:pPr>
        <w:pStyle w:val="Heading2"/>
      </w:pPr>
      <w:r>
        <w:lastRenderedPageBreak/>
        <w:t>A.2 Registration module</w:t>
      </w:r>
    </w:p>
    <w:p w14:paraId="249B0525" w14:textId="77777777" w:rsidR="00C975AD" w:rsidRDefault="00E73EDB">
      <w:pPr>
        <w:spacing w:before="120" w:after="80"/>
      </w:pPr>
      <w:r>
        <w:rPr>
          <w:b/>
          <w:bCs/>
        </w:rPr>
        <w:t>Response should address:</w:t>
      </w:r>
    </w:p>
    <w:p w14:paraId="6A2116BC" w14:textId="77777777" w:rsidR="00C975AD" w:rsidRDefault="00E73EDB">
      <w:pPr>
        <w:pStyle w:val="ListParagraph"/>
        <w:numPr>
          <w:ilvl w:val="0"/>
          <w:numId w:val="2"/>
        </w:numPr>
        <w:spacing w:after="60" w:line="276" w:lineRule="auto"/>
      </w:pPr>
      <w:r>
        <w:t>approach to maintaining the statutory register of pre-hospital emergency care practitioners across the EMT, Paramedic, Advanced Paramedic and Cardiac First Responder divisions</w:t>
      </w:r>
    </w:p>
    <w:p w14:paraId="12721047" w14:textId="77777777" w:rsidR="00C975AD" w:rsidRDefault="00E73EDB">
      <w:pPr>
        <w:pStyle w:val="ListParagraph"/>
        <w:numPr>
          <w:ilvl w:val="0"/>
          <w:numId w:val="2"/>
        </w:numPr>
        <w:spacing w:after="60" w:line="276" w:lineRule="auto"/>
      </w:pPr>
      <w:r>
        <w:t>first-time registration application, including identity verification, NQEMT validation, evidence submission and payment</w:t>
      </w:r>
    </w:p>
    <w:p w14:paraId="3CE72F70" w14:textId="77777777" w:rsidR="00C975AD" w:rsidRDefault="00E73EDB">
      <w:pPr>
        <w:pStyle w:val="ListParagraph"/>
        <w:numPr>
          <w:ilvl w:val="0"/>
          <w:numId w:val="2"/>
        </w:numPr>
        <w:spacing w:after="60" w:line="276" w:lineRule="auto"/>
      </w:pPr>
      <w:r>
        <w:t>re-registration cycles, including bulk communication, self-service renewal, fees and confirmation</w:t>
      </w:r>
    </w:p>
    <w:p w14:paraId="0C13A5A5" w14:textId="77777777" w:rsidR="00C975AD" w:rsidRDefault="00E73EDB">
      <w:pPr>
        <w:pStyle w:val="ListParagraph"/>
        <w:numPr>
          <w:ilvl w:val="0"/>
          <w:numId w:val="2"/>
        </w:numPr>
        <w:spacing w:after="60" w:line="276" w:lineRule="auto"/>
      </w:pPr>
      <w:r>
        <w:t>continuing professional development records, including evidence capture, validation and reporting</w:t>
      </w:r>
    </w:p>
    <w:p w14:paraId="68C66921" w14:textId="77777777" w:rsidR="00C975AD" w:rsidRDefault="00E73EDB">
      <w:pPr>
        <w:pStyle w:val="ListParagraph"/>
        <w:numPr>
          <w:ilvl w:val="0"/>
          <w:numId w:val="2"/>
        </w:numPr>
        <w:spacing w:after="60" w:line="276" w:lineRule="auto"/>
      </w:pPr>
      <w:r>
        <w:t>registrant self-service through a customer portal, including profile management, application status and document download</w:t>
      </w:r>
    </w:p>
    <w:p w14:paraId="1EBC0E0D" w14:textId="77777777" w:rsidR="00C975AD" w:rsidRDefault="00E73EDB">
      <w:pPr>
        <w:pStyle w:val="ListParagraph"/>
        <w:numPr>
          <w:ilvl w:val="0"/>
          <w:numId w:val="2"/>
        </w:numPr>
        <w:spacing w:after="60" w:line="276" w:lineRule="auto"/>
      </w:pPr>
      <w:r>
        <w:t>approach to replacing the existing registration system without disruption to live registrant activity</w:t>
      </w:r>
    </w:p>
    <w:p w14:paraId="2F73D440"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38FCBED2"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09A278B0" w14:textId="77777777" w:rsidR="00C975AD" w:rsidRDefault="00E73EDB">
            <w:r>
              <w:rPr>
                <w:i/>
                <w:iCs/>
                <w:color w:val="808080"/>
              </w:rPr>
              <w:t>[Tenderer response here]</w:t>
            </w:r>
          </w:p>
        </w:tc>
      </w:tr>
    </w:tbl>
    <w:p w14:paraId="533151AF" w14:textId="77777777" w:rsidR="00C975AD" w:rsidRDefault="00E73EDB">
      <w:r>
        <w:br w:type="page"/>
      </w:r>
    </w:p>
    <w:p w14:paraId="261786C9" w14:textId="77777777" w:rsidR="00C975AD" w:rsidRDefault="00E73EDB">
      <w:pPr>
        <w:pStyle w:val="Heading2"/>
      </w:pPr>
      <w:r>
        <w:lastRenderedPageBreak/>
        <w:t>A.3 Examinations integration</w:t>
      </w:r>
    </w:p>
    <w:p w14:paraId="6F9A892F" w14:textId="77777777" w:rsidR="00C975AD" w:rsidRDefault="00E73EDB">
      <w:pPr>
        <w:spacing w:before="120" w:after="80"/>
      </w:pPr>
      <w:r>
        <w:rPr>
          <w:b/>
          <w:bCs/>
        </w:rPr>
        <w:t>Response should address:</w:t>
      </w:r>
    </w:p>
    <w:p w14:paraId="168DCACF" w14:textId="77777777" w:rsidR="00C975AD" w:rsidRDefault="00E73EDB">
      <w:pPr>
        <w:pStyle w:val="ListParagraph"/>
        <w:numPr>
          <w:ilvl w:val="0"/>
          <w:numId w:val="2"/>
        </w:numPr>
        <w:spacing w:after="60" w:line="276" w:lineRule="auto"/>
      </w:pPr>
      <w:r>
        <w:t>approach to integrating with the existing examinations system via API, recognising that the Examinations function is not in scope for replacement</w:t>
      </w:r>
    </w:p>
    <w:p w14:paraId="58AA2F0E" w14:textId="77777777" w:rsidR="00C975AD" w:rsidRDefault="00E73EDB">
      <w:pPr>
        <w:pStyle w:val="ListParagraph"/>
        <w:numPr>
          <w:ilvl w:val="0"/>
          <w:numId w:val="2"/>
        </w:numPr>
        <w:spacing w:after="60" w:line="276" w:lineRule="auto"/>
      </w:pPr>
      <w:r>
        <w:t>data flows between the BIS and the examinations system, including which system is the source of truth for each data element</w:t>
      </w:r>
    </w:p>
    <w:p w14:paraId="13DC0D59" w14:textId="77777777" w:rsidR="00C975AD" w:rsidRDefault="00E73EDB">
      <w:pPr>
        <w:pStyle w:val="ListParagraph"/>
        <w:numPr>
          <w:ilvl w:val="0"/>
          <w:numId w:val="2"/>
        </w:numPr>
        <w:spacing w:after="60" w:line="276" w:lineRule="auto"/>
      </w:pPr>
      <w:r>
        <w:t>handling of examination results, candidate records and progression linkage to the register</w:t>
      </w:r>
    </w:p>
    <w:p w14:paraId="7BF8B9F7" w14:textId="77777777" w:rsidR="00C975AD" w:rsidRDefault="00E73EDB">
      <w:pPr>
        <w:pStyle w:val="ListParagraph"/>
        <w:numPr>
          <w:ilvl w:val="0"/>
          <w:numId w:val="2"/>
        </w:numPr>
        <w:spacing w:after="60" w:line="276" w:lineRule="auto"/>
      </w:pPr>
      <w:r>
        <w:t>error handling, reconciliation and recovery where the integration fails or is degraded</w:t>
      </w:r>
    </w:p>
    <w:p w14:paraId="10032022" w14:textId="77777777" w:rsidR="00C975AD" w:rsidRDefault="00E73EDB">
      <w:pPr>
        <w:pStyle w:val="ListParagraph"/>
        <w:numPr>
          <w:ilvl w:val="0"/>
          <w:numId w:val="2"/>
        </w:numPr>
        <w:spacing w:after="60" w:line="276" w:lineRule="auto"/>
      </w:pPr>
      <w:r>
        <w:t>performance, security and audit requirements for the integration</w:t>
      </w:r>
    </w:p>
    <w:p w14:paraId="62F4854D"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08095D28"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59AAC9B7" w14:textId="77777777" w:rsidR="00C975AD" w:rsidRDefault="00E73EDB">
            <w:r>
              <w:rPr>
                <w:i/>
                <w:iCs/>
                <w:color w:val="808080"/>
              </w:rPr>
              <w:t>[Tenderer response here]</w:t>
            </w:r>
          </w:p>
        </w:tc>
      </w:tr>
    </w:tbl>
    <w:p w14:paraId="6A477BAE" w14:textId="77777777" w:rsidR="00C975AD" w:rsidRDefault="00E73EDB">
      <w:r>
        <w:br w:type="page"/>
      </w:r>
    </w:p>
    <w:p w14:paraId="5360AC3C" w14:textId="77777777" w:rsidR="00C975AD" w:rsidRDefault="00E73EDB">
      <w:pPr>
        <w:pStyle w:val="Heading2"/>
      </w:pPr>
      <w:r>
        <w:lastRenderedPageBreak/>
        <w:t>A.4 Accreditation module</w:t>
      </w:r>
    </w:p>
    <w:p w14:paraId="3EBC5476" w14:textId="77777777" w:rsidR="00C975AD" w:rsidRDefault="00E73EDB">
      <w:pPr>
        <w:spacing w:before="120" w:after="80"/>
      </w:pPr>
      <w:r>
        <w:rPr>
          <w:b/>
          <w:bCs/>
        </w:rPr>
        <w:t>Response should address:</w:t>
      </w:r>
    </w:p>
    <w:p w14:paraId="5A010476" w14:textId="77777777" w:rsidR="00C975AD" w:rsidRDefault="00E73EDB">
      <w:pPr>
        <w:pStyle w:val="ListParagraph"/>
        <w:numPr>
          <w:ilvl w:val="0"/>
          <w:numId w:val="2"/>
        </w:numPr>
        <w:spacing w:after="60" w:line="276" w:lineRule="auto"/>
      </w:pPr>
      <w:r>
        <w:t>approach to quality assurance of training institutions, including assessment cycle workflows</w:t>
      </w:r>
    </w:p>
    <w:p w14:paraId="74151BA6" w14:textId="77777777" w:rsidR="00C975AD" w:rsidRDefault="00E73EDB">
      <w:pPr>
        <w:pStyle w:val="ListParagraph"/>
        <w:numPr>
          <w:ilvl w:val="0"/>
          <w:numId w:val="2"/>
        </w:numPr>
        <w:spacing w:after="60" w:line="276" w:lineRule="auto"/>
      </w:pPr>
      <w:r>
        <w:t>evidence management, including document submission, version control and panel access</w:t>
      </w:r>
    </w:p>
    <w:p w14:paraId="68D2A803" w14:textId="77777777" w:rsidR="00C975AD" w:rsidRDefault="00E73EDB">
      <w:pPr>
        <w:pStyle w:val="ListParagraph"/>
        <w:numPr>
          <w:ilvl w:val="0"/>
          <w:numId w:val="2"/>
        </w:numPr>
        <w:spacing w:after="60" w:line="276" w:lineRule="auto"/>
      </w:pPr>
      <w:r>
        <w:t>assessor allocation, scheduling and conflict management</w:t>
      </w:r>
    </w:p>
    <w:p w14:paraId="74846CE7" w14:textId="77777777" w:rsidR="00C975AD" w:rsidRDefault="00E73EDB">
      <w:pPr>
        <w:pStyle w:val="ListParagraph"/>
        <w:numPr>
          <w:ilvl w:val="0"/>
          <w:numId w:val="2"/>
        </w:numPr>
        <w:spacing w:after="60" w:line="276" w:lineRule="auto"/>
      </w:pPr>
      <w:r>
        <w:t>audit and reporting on accreditation activity</w:t>
      </w:r>
    </w:p>
    <w:p w14:paraId="1752D6C0" w14:textId="77777777" w:rsidR="00C975AD" w:rsidRDefault="00E73EDB">
      <w:pPr>
        <w:pStyle w:val="ListParagraph"/>
        <w:numPr>
          <w:ilvl w:val="0"/>
          <w:numId w:val="2"/>
        </w:numPr>
        <w:spacing w:after="60" w:line="276" w:lineRule="auto"/>
      </w:pPr>
      <w:r>
        <w:t>communication and document exchange with accredited institutions</w:t>
      </w:r>
    </w:p>
    <w:p w14:paraId="60054EE7"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08E370DE"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46B0D4E0" w14:textId="77777777" w:rsidR="00C975AD" w:rsidRDefault="00E73EDB">
            <w:r>
              <w:rPr>
                <w:i/>
                <w:iCs/>
                <w:color w:val="808080"/>
              </w:rPr>
              <w:t>[Tenderer response here]</w:t>
            </w:r>
          </w:p>
        </w:tc>
      </w:tr>
    </w:tbl>
    <w:p w14:paraId="186D9FCF" w14:textId="77777777" w:rsidR="00C975AD" w:rsidRDefault="00E73EDB">
      <w:r>
        <w:br w:type="page"/>
      </w:r>
    </w:p>
    <w:p w14:paraId="409893A7" w14:textId="77777777" w:rsidR="00C975AD" w:rsidRDefault="00E73EDB">
      <w:pPr>
        <w:pStyle w:val="Heading2"/>
      </w:pPr>
      <w:r>
        <w:lastRenderedPageBreak/>
        <w:t>A.5 Recognition of Qualifications (RoQ) module</w:t>
      </w:r>
    </w:p>
    <w:p w14:paraId="38654423" w14:textId="77777777" w:rsidR="00C975AD" w:rsidRDefault="00E73EDB">
      <w:pPr>
        <w:spacing w:before="120" w:after="80"/>
      </w:pPr>
      <w:r>
        <w:rPr>
          <w:b/>
          <w:bCs/>
        </w:rPr>
        <w:t>Response should address:</w:t>
      </w:r>
    </w:p>
    <w:p w14:paraId="1FF3BDB8" w14:textId="77777777" w:rsidR="00C975AD" w:rsidRDefault="00E73EDB">
      <w:pPr>
        <w:pStyle w:val="ListParagraph"/>
        <w:numPr>
          <w:ilvl w:val="0"/>
          <w:numId w:val="2"/>
        </w:numPr>
        <w:spacing w:after="60" w:line="276" w:lineRule="auto"/>
      </w:pPr>
      <w:r>
        <w:t>applicant journey, from initial enquiry through application, evidence submission, evaluation and decision</w:t>
      </w:r>
    </w:p>
    <w:p w14:paraId="64C20EDD" w14:textId="77777777" w:rsidR="00C975AD" w:rsidRDefault="00E73EDB">
      <w:pPr>
        <w:pStyle w:val="ListParagraph"/>
        <w:numPr>
          <w:ilvl w:val="0"/>
          <w:numId w:val="2"/>
        </w:numPr>
        <w:spacing w:after="60" w:line="276" w:lineRule="auto"/>
      </w:pPr>
      <w:r>
        <w:t>evaluator workflow, including evidence review, comparison against PHECC standards and decision recording</w:t>
      </w:r>
    </w:p>
    <w:p w14:paraId="03C11805" w14:textId="77777777" w:rsidR="00C975AD" w:rsidRDefault="00E73EDB">
      <w:pPr>
        <w:pStyle w:val="ListParagraph"/>
        <w:numPr>
          <w:ilvl w:val="0"/>
          <w:numId w:val="2"/>
        </w:numPr>
        <w:spacing w:after="60" w:line="276" w:lineRule="auto"/>
      </w:pPr>
      <w:r>
        <w:t>handling of international qualifications and translated documentation</w:t>
      </w:r>
    </w:p>
    <w:p w14:paraId="21C3223A" w14:textId="77777777" w:rsidR="00C975AD" w:rsidRDefault="00E73EDB">
      <w:pPr>
        <w:pStyle w:val="ListParagraph"/>
        <w:numPr>
          <w:ilvl w:val="0"/>
          <w:numId w:val="2"/>
        </w:numPr>
        <w:spacing w:after="60" w:line="276" w:lineRule="auto"/>
      </w:pPr>
      <w:r>
        <w:t>communication with applicants, including timelines, requests for additional evidence and decision notification</w:t>
      </w:r>
    </w:p>
    <w:p w14:paraId="5604DD91"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1C8EC388"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13B4DCFE" w14:textId="77777777" w:rsidR="00C975AD" w:rsidRDefault="00E73EDB">
            <w:r>
              <w:rPr>
                <w:i/>
                <w:iCs/>
                <w:color w:val="808080"/>
              </w:rPr>
              <w:t>[Tenderer response here]</w:t>
            </w:r>
          </w:p>
        </w:tc>
      </w:tr>
    </w:tbl>
    <w:p w14:paraId="2BF00848" w14:textId="77777777" w:rsidR="00C975AD" w:rsidRDefault="00E73EDB">
      <w:r>
        <w:br w:type="page"/>
      </w:r>
    </w:p>
    <w:p w14:paraId="327A7DC3" w14:textId="77777777" w:rsidR="00C975AD" w:rsidRDefault="00E73EDB">
      <w:pPr>
        <w:pStyle w:val="Heading2"/>
      </w:pPr>
      <w:r>
        <w:lastRenderedPageBreak/>
        <w:t>A.6 Recognised Institutions and Approved Training Institutions (RI/ATI) module</w:t>
      </w:r>
    </w:p>
    <w:p w14:paraId="20375FE2" w14:textId="77777777" w:rsidR="00C975AD" w:rsidRDefault="00E73EDB">
      <w:pPr>
        <w:spacing w:before="120" w:after="80"/>
      </w:pPr>
      <w:r>
        <w:rPr>
          <w:b/>
          <w:bCs/>
        </w:rPr>
        <w:t>Response should address:</w:t>
      </w:r>
    </w:p>
    <w:p w14:paraId="076623DE" w14:textId="77777777" w:rsidR="00C975AD" w:rsidRDefault="00E73EDB">
      <w:pPr>
        <w:pStyle w:val="ListParagraph"/>
        <w:numPr>
          <w:ilvl w:val="0"/>
          <w:numId w:val="2"/>
        </w:numPr>
        <w:spacing w:after="60" w:line="276" w:lineRule="auto"/>
      </w:pPr>
      <w:r>
        <w:t>institutional approval workflow, from application through evidence review to decision</w:t>
      </w:r>
    </w:p>
    <w:p w14:paraId="747AA90D" w14:textId="77777777" w:rsidR="00C975AD" w:rsidRDefault="00E73EDB">
      <w:pPr>
        <w:pStyle w:val="ListParagraph"/>
        <w:numPr>
          <w:ilvl w:val="0"/>
          <w:numId w:val="2"/>
        </w:numPr>
        <w:spacing w:after="60" w:line="276" w:lineRule="auto"/>
      </w:pPr>
      <w:r>
        <w:t>ongoing oversight of recognised institutions, including renewal cycles and changes to approved programmes</w:t>
      </w:r>
    </w:p>
    <w:p w14:paraId="20B45AC6" w14:textId="77777777" w:rsidR="00C975AD" w:rsidRDefault="00E73EDB">
      <w:pPr>
        <w:pStyle w:val="ListParagraph"/>
        <w:numPr>
          <w:ilvl w:val="0"/>
          <w:numId w:val="2"/>
        </w:numPr>
        <w:spacing w:after="60" w:line="276" w:lineRule="auto"/>
      </w:pPr>
      <w:r>
        <w:t>evidence submission and document exchange with institutions</w:t>
      </w:r>
    </w:p>
    <w:p w14:paraId="420B2BEE" w14:textId="77777777" w:rsidR="00C975AD" w:rsidRDefault="00E73EDB">
      <w:pPr>
        <w:pStyle w:val="ListParagraph"/>
        <w:numPr>
          <w:ilvl w:val="0"/>
          <w:numId w:val="2"/>
        </w:numPr>
        <w:spacing w:after="60" w:line="276" w:lineRule="auto"/>
      </w:pPr>
      <w:r>
        <w:t>interaction with the Accreditation module where the same institution is subject to both processes</w:t>
      </w:r>
    </w:p>
    <w:p w14:paraId="41A126AC"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0E3CBA6A"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5E556CD3" w14:textId="77777777" w:rsidR="00C975AD" w:rsidRDefault="00E73EDB">
            <w:r>
              <w:rPr>
                <w:i/>
                <w:iCs/>
                <w:color w:val="808080"/>
              </w:rPr>
              <w:t>[Tenderer response here]</w:t>
            </w:r>
          </w:p>
        </w:tc>
      </w:tr>
    </w:tbl>
    <w:p w14:paraId="4AC82D3A" w14:textId="77777777" w:rsidR="00C975AD" w:rsidRDefault="00E73EDB">
      <w:r>
        <w:br w:type="page"/>
      </w:r>
    </w:p>
    <w:p w14:paraId="7C7BF72A" w14:textId="77777777" w:rsidR="00C975AD" w:rsidRDefault="00E73EDB">
      <w:pPr>
        <w:pStyle w:val="Heading2"/>
      </w:pPr>
      <w:r>
        <w:lastRenderedPageBreak/>
        <w:t>A.7 Cross-module functions</w:t>
      </w:r>
    </w:p>
    <w:p w14:paraId="3AC5F215" w14:textId="77777777" w:rsidR="00C975AD" w:rsidRDefault="00E73EDB">
      <w:pPr>
        <w:spacing w:before="120" w:after="80"/>
      </w:pPr>
      <w:r>
        <w:rPr>
          <w:b/>
          <w:bCs/>
        </w:rPr>
        <w:t>Response should address:</w:t>
      </w:r>
    </w:p>
    <w:p w14:paraId="56E4D1CA" w14:textId="77777777" w:rsidR="00C975AD" w:rsidRDefault="00E73EDB">
      <w:pPr>
        <w:pStyle w:val="ListParagraph"/>
        <w:numPr>
          <w:ilvl w:val="0"/>
          <w:numId w:val="2"/>
        </w:numPr>
        <w:spacing w:after="60" w:line="276" w:lineRule="auto"/>
      </w:pPr>
      <w:r>
        <w:t>identity and access management, including authentication, role-based access and self-service password recovery</w:t>
      </w:r>
    </w:p>
    <w:p w14:paraId="23511B22" w14:textId="77777777" w:rsidR="00C975AD" w:rsidRDefault="00E73EDB">
      <w:pPr>
        <w:pStyle w:val="ListParagraph"/>
        <w:numPr>
          <w:ilvl w:val="0"/>
          <w:numId w:val="2"/>
        </w:numPr>
        <w:spacing w:after="60" w:line="276" w:lineRule="auto"/>
      </w:pPr>
      <w:r>
        <w:t>document management, including upload, version control, retention and retrieval</w:t>
      </w:r>
    </w:p>
    <w:p w14:paraId="798ABEA4" w14:textId="77777777" w:rsidR="00C975AD" w:rsidRDefault="00E73EDB">
      <w:pPr>
        <w:pStyle w:val="ListParagraph"/>
        <w:numPr>
          <w:ilvl w:val="0"/>
          <w:numId w:val="2"/>
        </w:numPr>
        <w:spacing w:after="60" w:line="276" w:lineRule="auto"/>
      </w:pPr>
      <w:r>
        <w:t>payments, including payment gateway integration, refunds, financial reconciliation and reporting</w:t>
      </w:r>
    </w:p>
    <w:p w14:paraId="5AC08ADE" w14:textId="77777777" w:rsidR="00C975AD" w:rsidRDefault="00E73EDB">
      <w:pPr>
        <w:pStyle w:val="ListParagraph"/>
        <w:numPr>
          <w:ilvl w:val="0"/>
          <w:numId w:val="2"/>
        </w:numPr>
        <w:spacing w:after="60" w:line="276" w:lineRule="auto"/>
      </w:pPr>
      <w:r>
        <w:t>reporting and analytics, including standard reports, ad hoc reporting and dashboards for management</w:t>
      </w:r>
    </w:p>
    <w:p w14:paraId="279C5911" w14:textId="77777777" w:rsidR="00C975AD" w:rsidRDefault="00E73EDB">
      <w:pPr>
        <w:pStyle w:val="ListParagraph"/>
        <w:numPr>
          <w:ilvl w:val="0"/>
          <w:numId w:val="2"/>
        </w:numPr>
        <w:spacing w:after="60" w:line="276" w:lineRule="auto"/>
      </w:pPr>
      <w:r>
        <w:t>audit and traceability across all modules</w:t>
      </w:r>
    </w:p>
    <w:p w14:paraId="3411A2AA" w14:textId="77777777" w:rsidR="00C975AD" w:rsidRDefault="00E73EDB">
      <w:pPr>
        <w:pStyle w:val="ListParagraph"/>
        <w:numPr>
          <w:ilvl w:val="0"/>
          <w:numId w:val="2"/>
        </w:numPr>
        <w:spacing w:after="60" w:line="276" w:lineRule="auto"/>
      </w:pPr>
      <w:r>
        <w:t>configuration and administration, including the extent of self-service configuration available to PHECC administrators without supplier intervention</w:t>
      </w:r>
    </w:p>
    <w:p w14:paraId="239A2428"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590B30C7"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6B69E88C" w14:textId="77777777" w:rsidR="00C975AD" w:rsidRDefault="00E73EDB">
            <w:r>
              <w:rPr>
                <w:i/>
                <w:iCs/>
                <w:color w:val="808080"/>
              </w:rPr>
              <w:t>[Tenderer response here]</w:t>
            </w:r>
          </w:p>
        </w:tc>
      </w:tr>
    </w:tbl>
    <w:p w14:paraId="1D5B2E1E" w14:textId="77777777" w:rsidR="00C975AD" w:rsidRDefault="00E73EDB">
      <w:r>
        <w:br w:type="page"/>
      </w:r>
    </w:p>
    <w:p w14:paraId="4E04F6FC" w14:textId="77777777" w:rsidR="00C975AD" w:rsidRDefault="00E73EDB">
      <w:pPr>
        <w:pStyle w:val="Heading2"/>
      </w:pPr>
      <w:r>
        <w:lastRenderedPageBreak/>
        <w:t>A.8 Approach to user experience</w:t>
      </w:r>
    </w:p>
    <w:p w14:paraId="2F840354" w14:textId="77777777" w:rsidR="00C975AD" w:rsidRDefault="00E73EDB">
      <w:pPr>
        <w:spacing w:before="120" w:after="80"/>
      </w:pPr>
      <w:r>
        <w:rPr>
          <w:b/>
          <w:bCs/>
        </w:rPr>
        <w:t>Response should address:</w:t>
      </w:r>
    </w:p>
    <w:p w14:paraId="768088ED" w14:textId="77777777" w:rsidR="00C975AD" w:rsidRDefault="00E73EDB">
      <w:pPr>
        <w:pStyle w:val="ListParagraph"/>
        <w:numPr>
          <w:ilvl w:val="0"/>
          <w:numId w:val="2"/>
        </w:numPr>
        <w:spacing w:after="60" w:line="276" w:lineRule="auto"/>
      </w:pPr>
      <w:r>
        <w:t>user experience for the three primary actor groups: registrants and applicants (public), training institution staff, and PHECC staff</w:t>
      </w:r>
    </w:p>
    <w:p w14:paraId="3C11DD04" w14:textId="77777777" w:rsidR="00C975AD" w:rsidRDefault="00E73EDB">
      <w:pPr>
        <w:pStyle w:val="ListParagraph"/>
        <w:numPr>
          <w:ilvl w:val="0"/>
          <w:numId w:val="2"/>
        </w:numPr>
        <w:spacing w:after="60" w:line="276" w:lineRule="auto"/>
      </w:pPr>
      <w:r>
        <w:t>approach to accessibility, including conformance to WCAG 2.1 AA or higher</w:t>
      </w:r>
    </w:p>
    <w:p w14:paraId="1458B21B" w14:textId="77777777" w:rsidR="00C975AD" w:rsidRDefault="00E73EDB">
      <w:pPr>
        <w:pStyle w:val="ListParagraph"/>
        <w:numPr>
          <w:ilvl w:val="0"/>
          <w:numId w:val="2"/>
        </w:numPr>
        <w:spacing w:after="60" w:line="276" w:lineRule="auto"/>
      </w:pPr>
      <w:r>
        <w:t>responsive design and mobile usability</w:t>
      </w:r>
    </w:p>
    <w:p w14:paraId="29B56C82" w14:textId="77777777" w:rsidR="00C975AD" w:rsidRDefault="00E73EDB">
      <w:pPr>
        <w:pStyle w:val="ListParagraph"/>
        <w:numPr>
          <w:ilvl w:val="0"/>
          <w:numId w:val="2"/>
        </w:numPr>
        <w:spacing w:after="60" w:line="276" w:lineRule="auto"/>
      </w:pPr>
      <w:r>
        <w:t>approach to user research and ongoing user experience improvement</w:t>
      </w:r>
    </w:p>
    <w:p w14:paraId="301081A2"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21F5CABF"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0449E57E" w14:textId="77777777" w:rsidR="00C975AD" w:rsidRDefault="00E73EDB">
            <w:r>
              <w:rPr>
                <w:i/>
                <w:iCs/>
                <w:color w:val="808080"/>
              </w:rPr>
              <w:t>[Tenderer response here]</w:t>
            </w:r>
          </w:p>
        </w:tc>
      </w:tr>
    </w:tbl>
    <w:p w14:paraId="6D6FCF29" w14:textId="77777777" w:rsidR="00C975AD" w:rsidRDefault="00E73EDB">
      <w:r>
        <w:br w:type="page"/>
      </w:r>
    </w:p>
    <w:p w14:paraId="756B4690" w14:textId="77777777" w:rsidR="00C975AD" w:rsidRDefault="00E73EDB">
      <w:pPr>
        <w:pStyle w:val="Heading1"/>
      </w:pPr>
      <w:r>
        <w:lastRenderedPageBreak/>
        <w:t>B. Technical solution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6"/>
        <w:gridCol w:w="4536"/>
      </w:tblGrid>
      <w:tr w:rsidR="00C975AD" w14:paraId="313C7667" w14:textId="77777777">
        <w:tc>
          <w:tcPr>
            <w:tcW w:w="4536"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2F7EE718" w14:textId="77777777" w:rsidR="00C975AD" w:rsidRDefault="00E73EDB">
            <w:pPr>
              <w:spacing w:before="60" w:after="60"/>
            </w:pPr>
            <w:r>
              <w:rPr>
                <w:b/>
                <w:bCs/>
              </w:rPr>
              <w:t>Weighting: 15% of total score</w:t>
            </w:r>
          </w:p>
        </w:tc>
        <w:tc>
          <w:tcPr>
            <w:tcW w:w="4536"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32744309" w14:textId="77777777" w:rsidR="00C975AD" w:rsidRDefault="00E73EDB">
            <w:pPr>
              <w:spacing w:before="60" w:after="60"/>
            </w:pPr>
            <w:r>
              <w:rPr>
                <w:b/>
                <w:bCs/>
              </w:rPr>
              <w:t>Page limit: 6 pages</w:t>
            </w:r>
          </w:p>
        </w:tc>
      </w:tr>
    </w:tbl>
    <w:p w14:paraId="779727DA" w14:textId="77777777" w:rsidR="00C975AD" w:rsidRDefault="00C975AD"/>
    <w:p w14:paraId="7CE0DF9C" w14:textId="77777777" w:rsidR="00C975AD" w:rsidRDefault="00E73EDB">
      <w:pPr>
        <w:spacing w:after="120" w:line="276" w:lineRule="auto"/>
      </w:pPr>
      <w:r>
        <w:rPr>
          <w:color w:val="000000"/>
        </w:rPr>
        <w:t>Section B assesses the technical solution proposed for the BIS, including architecture, integrations across PHECC's systems, data migration, security and data protection, non-functional requirements, and exit readiness.</w:t>
      </w:r>
    </w:p>
    <w:p w14:paraId="59EF68F8" w14:textId="77777777" w:rsidR="00C975AD" w:rsidRDefault="00E73EDB">
      <w:pPr>
        <w:pBdr>
          <w:left w:val="single" w:sz="18" w:space="0" w:color="C55A11"/>
        </w:pBdr>
        <w:spacing w:before="120" w:after="120"/>
        <w:ind w:left="200"/>
      </w:pPr>
      <w:r>
        <w:rPr>
          <w:b/>
          <w:bCs/>
          <w:color w:val="1F3864"/>
        </w:rPr>
        <w:t xml:space="preserve">Response expectations: </w:t>
      </w:r>
      <w:r>
        <w:t>Tenderers should provide clear, specific and solution-based responses. Generic marketing material, vague claims or references to future capability without supporting explanation may receive lower scores. Evidence-based answers grounded in the proposed solution are expected.</w:t>
      </w:r>
    </w:p>
    <w:p w14:paraId="509AD154" w14:textId="77777777" w:rsidR="00C975AD" w:rsidRDefault="00E73EDB">
      <w:pPr>
        <w:pStyle w:val="Heading2"/>
      </w:pPr>
      <w:r>
        <w:t>B.1 Solution architecture</w:t>
      </w:r>
    </w:p>
    <w:p w14:paraId="5E5D582F" w14:textId="77777777" w:rsidR="00C975AD" w:rsidRDefault="00E73EDB">
      <w:pPr>
        <w:spacing w:before="120" w:after="80"/>
      </w:pPr>
      <w:r>
        <w:rPr>
          <w:b/>
          <w:bCs/>
        </w:rPr>
        <w:t>Response should address:</w:t>
      </w:r>
    </w:p>
    <w:p w14:paraId="3E0CE6A8" w14:textId="77777777" w:rsidR="00C975AD" w:rsidRDefault="00E73EDB">
      <w:pPr>
        <w:pStyle w:val="ListParagraph"/>
        <w:numPr>
          <w:ilvl w:val="0"/>
          <w:numId w:val="2"/>
        </w:numPr>
        <w:spacing w:after="60" w:line="276" w:lineRule="auto"/>
      </w:pPr>
      <w:r>
        <w:t>high-level architecture of the proposed solution</w:t>
      </w:r>
    </w:p>
    <w:p w14:paraId="0FF97DDF" w14:textId="77777777" w:rsidR="00C975AD" w:rsidRDefault="00E73EDB">
      <w:pPr>
        <w:pStyle w:val="ListParagraph"/>
        <w:numPr>
          <w:ilvl w:val="0"/>
          <w:numId w:val="2"/>
        </w:numPr>
        <w:spacing w:after="60" w:line="276" w:lineRule="auto"/>
      </w:pPr>
      <w:r>
        <w:t>a components diagram that visualises the major system components and the geographical and administrative boundaries of system operators, support staff, sub-processors and any administrative or maintenance access mechanisms (sometimes referred to as jump hosts or maintenance tunnels), showing which actors can access which components from which locations</w:t>
      </w:r>
    </w:p>
    <w:p w14:paraId="715E8862" w14:textId="77777777" w:rsidR="00C975AD" w:rsidRDefault="00E73EDB">
      <w:pPr>
        <w:pStyle w:val="ListParagraph"/>
        <w:numPr>
          <w:ilvl w:val="0"/>
          <w:numId w:val="2"/>
        </w:numPr>
        <w:spacing w:after="60" w:line="276" w:lineRule="auto"/>
      </w:pPr>
      <w:r>
        <w:t>hosting model, including the cloud platform, primary region and any sub-processors</w:t>
      </w:r>
    </w:p>
    <w:p w14:paraId="52A31687" w14:textId="77777777" w:rsidR="00C975AD" w:rsidRDefault="00E73EDB">
      <w:pPr>
        <w:pStyle w:val="ListParagraph"/>
        <w:numPr>
          <w:ilvl w:val="0"/>
          <w:numId w:val="2"/>
        </w:numPr>
        <w:spacing w:after="60" w:line="276" w:lineRule="auto"/>
      </w:pPr>
      <w:r>
        <w:t>technology stack, including significant frameworks, languages and third-party components</w:t>
      </w:r>
    </w:p>
    <w:p w14:paraId="55A42DDB" w14:textId="77777777" w:rsidR="00C975AD" w:rsidRDefault="00E73EDB">
      <w:pPr>
        <w:pStyle w:val="ListParagraph"/>
        <w:numPr>
          <w:ilvl w:val="0"/>
          <w:numId w:val="2"/>
        </w:numPr>
        <w:spacing w:after="60" w:line="276" w:lineRule="auto"/>
      </w:pPr>
      <w:r>
        <w:t>approach to multi-tenancy versus single-tenant deployment for PHECC</w:t>
      </w:r>
    </w:p>
    <w:p w14:paraId="16800B38" w14:textId="77777777" w:rsidR="00C975AD" w:rsidRDefault="00E73EDB">
      <w:pPr>
        <w:pStyle w:val="ListParagraph"/>
        <w:numPr>
          <w:ilvl w:val="0"/>
          <w:numId w:val="2"/>
        </w:numPr>
        <w:spacing w:after="60" w:line="276" w:lineRule="auto"/>
      </w:pPr>
      <w:r>
        <w:t>extensibility and APIs available to PHECC for future integrations or reporting</w:t>
      </w:r>
    </w:p>
    <w:p w14:paraId="493B22F5"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5E4F840B"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7CB8F302" w14:textId="77777777" w:rsidR="00C975AD" w:rsidRDefault="00E73EDB">
            <w:r>
              <w:rPr>
                <w:i/>
                <w:iCs/>
                <w:color w:val="808080"/>
              </w:rPr>
              <w:t>[Tenderer response here]</w:t>
            </w:r>
          </w:p>
        </w:tc>
      </w:tr>
    </w:tbl>
    <w:p w14:paraId="2B897EA0" w14:textId="77777777" w:rsidR="00C975AD" w:rsidRDefault="00E73EDB">
      <w:r>
        <w:br w:type="page"/>
      </w:r>
    </w:p>
    <w:p w14:paraId="54CB97CA" w14:textId="77777777" w:rsidR="00C975AD" w:rsidRDefault="00E73EDB">
      <w:pPr>
        <w:pStyle w:val="Heading2"/>
      </w:pPr>
      <w:r>
        <w:lastRenderedPageBreak/>
        <w:t>B.2 Integrations</w:t>
      </w:r>
    </w:p>
    <w:p w14:paraId="218B0E28" w14:textId="77777777" w:rsidR="00C975AD" w:rsidRDefault="00E73EDB">
      <w:pPr>
        <w:spacing w:before="120" w:after="80"/>
      </w:pPr>
      <w:r>
        <w:rPr>
          <w:b/>
          <w:bCs/>
        </w:rPr>
        <w:t>Response should address:</w:t>
      </w:r>
    </w:p>
    <w:p w14:paraId="6EAACBFA" w14:textId="77777777" w:rsidR="00C975AD" w:rsidRDefault="00E73EDB">
      <w:pPr>
        <w:pStyle w:val="ListParagraph"/>
        <w:numPr>
          <w:ilvl w:val="0"/>
          <w:numId w:val="2"/>
        </w:numPr>
        <w:spacing w:after="60" w:line="276" w:lineRule="auto"/>
      </w:pPr>
      <w:r>
        <w:t>scope: the integrations to be delivered, including the examinations platform (GRIP), the finance system (SAGE), the payment gateway, the identity provider for PHECC staff, and any other PHECC systems requiring integration</w:t>
      </w:r>
    </w:p>
    <w:p w14:paraId="29601F8C" w14:textId="77777777" w:rsidR="00C975AD" w:rsidRDefault="00E73EDB">
      <w:pPr>
        <w:pStyle w:val="ListParagraph"/>
        <w:numPr>
          <w:ilvl w:val="0"/>
          <w:numId w:val="2"/>
        </w:numPr>
        <w:spacing w:after="60" w:line="276" w:lineRule="auto"/>
      </w:pPr>
      <w:r>
        <w:t>technical approach to each integration, including protocols, authentication, data formats and standard patterns (REST APIs, webhooks, SFTP, single sign-on as relevant)</w:t>
      </w:r>
    </w:p>
    <w:p w14:paraId="67A6FCB9" w14:textId="77777777" w:rsidR="00C975AD" w:rsidRDefault="00E73EDB">
      <w:pPr>
        <w:pStyle w:val="ListParagraph"/>
        <w:numPr>
          <w:ilvl w:val="0"/>
          <w:numId w:val="2"/>
        </w:numPr>
        <w:spacing w:after="60" w:line="276" w:lineRule="auto"/>
      </w:pPr>
      <w:r>
        <w:t>data synchronisation strategy per integration: real-time, near-real-time or batch, and the rationale</w:t>
      </w:r>
    </w:p>
    <w:p w14:paraId="0C3A2E43" w14:textId="77777777" w:rsidR="00C975AD" w:rsidRDefault="00E73EDB">
      <w:pPr>
        <w:pStyle w:val="ListParagraph"/>
        <w:numPr>
          <w:ilvl w:val="0"/>
          <w:numId w:val="2"/>
        </w:numPr>
        <w:spacing w:after="60" w:line="276" w:lineRule="auto"/>
      </w:pPr>
      <w:r>
        <w:t>handling of conflicts, duplicates and integration errors; monitoring and alerting; reconciliation arrangements</w:t>
      </w:r>
    </w:p>
    <w:p w14:paraId="2F0D66C8" w14:textId="77777777" w:rsidR="00C975AD" w:rsidRDefault="00E73EDB">
      <w:pPr>
        <w:pStyle w:val="ListParagraph"/>
        <w:numPr>
          <w:ilvl w:val="0"/>
          <w:numId w:val="2"/>
        </w:numPr>
        <w:spacing w:after="60" w:line="276" w:lineRule="auto"/>
      </w:pPr>
      <w:r>
        <w:t>approach to working with third-party suppliers (the examinations platform supplier in particular) and with PHECC during integration design, testing and go-live</w:t>
      </w:r>
    </w:p>
    <w:p w14:paraId="302CC11A" w14:textId="77777777" w:rsidR="00C975AD" w:rsidRDefault="00E73EDB">
      <w:pPr>
        <w:pStyle w:val="ListParagraph"/>
        <w:numPr>
          <w:ilvl w:val="0"/>
          <w:numId w:val="2"/>
        </w:numPr>
        <w:spacing w:after="60" w:line="276" w:lineRule="auto"/>
      </w:pPr>
      <w:r>
        <w:t>approach to integrations where the third-party system is changed during the contract term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47504367"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3FF8CFFF" w14:textId="77777777" w:rsidR="00C975AD" w:rsidRDefault="00E73EDB">
            <w:r>
              <w:rPr>
                <w:i/>
                <w:iCs/>
                <w:color w:val="808080"/>
              </w:rPr>
              <w:t>[Tenderer response here]</w:t>
            </w:r>
          </w:p>
        </w:tc>
      </w:tr>
    </w:tbl>
    <w:p w14:paraId="6D36911E" w14:textId="77777777" w:rsidR="00C975AD" w:rsidRDefault="00E73EDB">
      <w:pPr>
        <w:pStyle w:val="Heading2"/>
      </w:pPr>
      <w:r>
        <w:t>B.3 Data migration from the existing registration system and other sources</w:t>
      </w:r>
    </w:p>
    <w:p w14:paraId="616A2FC5" w14:textId="77777777" w:rsidR="00C975AD" w:rsidRDefault="00E73EDB">
      <w:pPr>
        <w:spacing w:before="120" w:after="80"/>
      </w:pPr>
      <w:r>
        <w:rPr>
          <w:b/>
          <w:bCs/>
        </w:rPr>
        <w:t>Response should address:</w:t>
      </w:r>
    </w:p>
    <w:p w14:paraId="41B78CC8" w14:textId="77777777" w:rsidR="00C975AD" w:rsidRDefault="00E73EDB">
      <w:pPr>
        <w:pStyle w:val="ListParagraph"/>
        <w:numPr>
          <w:ilvl w:val="0"/>
          <w:numId w:val="2"/>
        </w:numPr>
        <w:spacing w:after="60" w:line="276" w:lineRule="auto"/>
      </w:pPr>
      <w:r>
        <w:t>approach to migrating registrant and supporting data from the existing registration system</w:t>
      </w:r>
    </w:p>
    <w:p w14:paraId="39A0A3EE" w14:textId="77777777" w:rsidR="00C975AD" w:rsidRDefault="00E73EDB">
      <w:pPr>
        <w:pStyle w:val="ListParagraph"/>
        <w:numPr>
          <w:ilvl w:val="0"/>
          <w:numId w:val="2"/>
        </w:numPr>
        <w:spacing w:after="60" w:line="276" w:lineRule="auto"/>
      </w:pPr>
      <w:r>
        <w:t>data mapping, cleansing and validation activities and PHECC's expected involvement</w:t>
      </w:r>
    </w:p>
    <w:p w14:paraId="62BDC20B" w14:textId="77777777" w:rsidR="00C975AD" w:rsidRDefault="00E73EDB">
      <w:pPr>
        <w:pStyle w:val="ListParagraph"/>
        <w:numPr>
          <w:ilvl w:val="0"/>
          <w:numId w:val="2"/>
        </w:numPr>
        <w:spacing w:after="60" w:line="276" w:lineRule="auto"/>
      </w:pPr>
      <w:r>
        <w:t>approach to migrating data from manual sources (spreadsheets, paper records) for accreditation, RoQ and RI/ATI</w:t>
      </w:r>
    </w:p>
    <w:p w14:paraId="24C9FF02" w14:textId="77777777" w:rsidR="00C975AD" w:rsidRDefault="00E73EDB">
      <w:pPr>
        <w:pStyle w:val="ListParagraph"/>
        <w:numPr>
          <w:ilvl w:val="0"/>
          <w:numId w:val="2"/>
        </w:numPr>
        <w:spacing w:after="60" w:line="276" w:lineRule="auto"/>
      </w:pPr>
      <w:r>
        <w:t>test migration cycles, including approach to verifying data integrity</w:t>
      </w:r>
    </w:p>
    <w:p w14:paraId="7448AF7D" w14:textId="77777777" w:rsidR="00C975AD" w:rsidRDefault="00E73EDB">
      <w:pPr>
        <w:pStyle w:val="ListParagraph"/>
        <w:numPr>
          <w:ilvl w:val="0"/>
          <w:numId w:val="2"/>
        </w:numPr>
        <w:spacing w:after="60" w:line="276" w:lineRule="auto"/>
      </w:pPr>
      <w:r>
        <w:t>cutover strategy, including fallback and rollback in the event of failure</w:t>
      </w:r>
    </w:p>
    <w:p w14:paraId="23813E5B" w14:textId="77777777" w:rsidR="00C975AD" w:rsidRDefault="00E73EDB">
      <w:pPr>
        <w:pStyle w:val="ListParagraph"/>
        <w:numPr>
          <w:ilvl w:val="0"/>
          <w:numId w:val="2"/>
        </w:numPr>
        <w:spacing w:after="60" w:line="276" w:lineRule="auto"/>
      </w:pPr>
      <w:r>
        <w:t>approach to historical record retention and archive access following go-live</w:t>
      </w:r>
    </w:p>
    <w:p w14:paraId="3041EAEC"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45624473"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6BDE2C9C" w14:textId="77777777" w:rsidR="00C975AD" w:rsidRDefault="00E73EDB">
            <w:r>
              <w:rPr>
                <w:i/>
                <w:iCs/>
                <w:color w:val="808080"/>
              </w:rPr>
              <w:t>[Tenderer response here]</w:t>
            </w:r>
          </w:p>
        </w:tc>
      </w:tr>
    </w:tbl>
    <w:p w14:paraId="65E8B948" w14:textId="77777777" w:rsidR="00C975AD" w:rsidRDefault="00E73EDB">
      <w:r>
        <w:br w:type="page"/>
      </w:r>
    </w:p>
    <w:p w14:paraId="2C18E044" w14:textId="77777777" w:rsidR="00C975AD" w:rsidRDefault="00E73EDB">
      <w:pPr>
        <w:pStyle w:val="Heading2"/>
      </w:pPr>
      <w:r>
        <w:lastRenderedPageBreak/>
        <w:t>B.4 Security and data protection</w:t>
      </w:r>
    </w:p>
    <w:p w14:paraId="516053C3" w14:textId="77777777" w:rsidR="00C975AD" w:rsidRDefault="00E73EDB">
      <w:pPr>
        <w:spacing w:before="120" w:after="80"/>
      </w:pPr>
      <w:r>
        <w:rPr>
          <w:b/>
          <w:bCs/>
        </w:rPr>
        <w:t>Response should address:</w:t>
      </w:r>
    </w:p>
    <w:p w14:paraId="777A4F7B" w14:textId="77777777" w:rsidR="00C975AD" w:rsidRDefault="00E73EDB">
      <w:pPr>
        <w:pStyle w:val="ListParagraph"/>
        <w:numPr>
          <w:ilvl w:val="0"/>
          <w:numId w:val="2"/>
        </w:numPr>
        <w:spacing w:after="60" w:line="276" w:lineRule="auto"/>
      </w:pPr>
      <w:r>
        <w:t>information security certifications held (ISO 27001 or equivalent), including scope and most recent audit date</w:t>
      </w:r>
    </w:p>
    <w:p w14:paraId="2A481440" w14:textId="77777777" w:rsidR="00C975AD" w:rsidRDefault="00E73EDB">
      <w:pPr>
        <w:pStyle w:val="ListParagraph"/>
        <w:numPr>
          <w:ilvl w:val="0"/>
          <w:numId w:val="2"/>
        </w:numPr>
        <w:spacing w:after="60" w:line="276" w:lineRule="auto"/>
      </w:pPr>
      <w:r>
        <w:t>identity and access management for PHECC users and external users, including multi-factor authentication, role-based access control, and identity federation</w:t>
      </w:r>
    </w:p>
    <w:p w14:paraId="2A3DAAC0" w14:textId="77777777" w:rsidR="00C975AD" w:rsidRDefault="00E73EDB">
      <w:pPr>
        <w:pStyle w:val="ListParagraph"/>
        <w:numPr>
          <w:ilvl w:val="0"/>
          <w:numId w:val="2"/>
        </w:numPr>
        <w:spacing w:after="60" w:line="276" w:lineRule="auto"/>
      </w:pPr>
      <w:r>
        <w:t>data classification, encryption at rest and in transit, encryption protocols and key management arrangements</w:t>
      </w:r>
    </w:p>
    <w:p w14:paraId="1ACC56E0" w14:textId="77777777" w:rsidR="00C975AD" w:rsidRDefault="00E73EDB">
      <w:pPr>
        <w:pStyle w:val="ListParagraph"/>
        <w:numPr>
          <w:ilvl w:val="0"/>
          <w:numId w:val="2"/>
        </w:numPr>
        <w:spacing w:after="60" w:line="276" w:lineRule="auto"/>
      </w:pPr>
      <w:r>
        <w:t>tenant isolation architecture (dedicated, pooled or hybrid), cryptographic separation of tenant data, per-tenant key management arrangements</w:t>
      </w:r>
    </w:p>
    <w:p w14:paraId="2C2DA206" w14:textId="77777777" w:rsidR="00C975AD" w:rsidRDefault="00E73EDB">
      <w:pPr>
        <w:pStyle w:val="ListParagraph"/>
        <w:numPr>
          <w:ilvl w:val="0"/>
          <w:numId w:val="2"/>
        </w:numPr>
        <w:spacing w:after="60" w:line="276" w:lineRule="auto"/>
      </w:pPr>
      <w:r>
        <w:t>vulnerability management, penetration testing and patching cadence; security monitoring, incident detection and incident response</w:t>
      </w:r>
    </w:p>
    <w:p w14:paraId="6DAD8111" w14:textId="77777777" w:rsidR="00C975AD" w:rsidRDefault="00E73EDB">
      <w:pPr>
        <w:pStyle w:val="ListParagraph"/>
        <w:numPr>
          <w:ilvl w:val="0"/>
          <w:numId w:val="2"/>
        </w:numPr>
        <w:spacing w:after="60" w:line="276" w:lineRule="auto"/>
      </w:pPr>
      <w:r>
        <w:t>data residency: explicit confirmation that all personal data is hosted, processed, maintained, stored and backed up exclusively within the EEA in line with section 7.2 of the RFT, and the treatment of any out-of-EEA component (location, legal basis, safeguards)</w:t>
      </w:r>
    </w:p>
    <w:p w14:paraId="343D4E8E" w14:textId="77777777" w:rsidR="00C975AD" w:rsidRDefault="00E73EDB">
      <w:pPr>
        <w:pStyle w:val="ListParagraph"/>
        <w:numPr>
          <w:ilvl w:val="0"/>
          <w:numId w:val="2"/>
        </w:numPr>
        <w:spacing w:after="60" w:line="276" w:lineRule="auto"/>
      </w:pPr>
      <w:r>
        <w:t>GDPR data processor obligations: sub-processor list (legal entity, country of incorporation, country of operation, data processed), data subject rights handling, data retention and deletion at end of contract</w:t>
      </w:r>
    </w:p>
    <w:p w14:paraId="2EFB6E49" w14:textId="77777777" w:rsidR="00C975AD" w:rsidRDefault="00E73EDB">
      <w:pPr>
        <w:pStyle w:val="ListParagraph"/>
        <w:numPr>
          <w:ilvl w:val="0"/>
          <w:numId w:val="2"/>
        </w:numPr>
        <w:spacing w:after="60" w:line="276" w:lineRule="auto"/>
      </w:pPr>
      <w:r>
        <w:t>security and data protection obligations on PHECC and how they are supported by the supplier</w:t>
      </w:r>
    </w:p>
    <w:p w14:paraId="7EC2B20B"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2EDC8011"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0E3553CC" w14:textId="77777777" w:rsidR="00C975AD" w:rsidRDefault="00E73EDB">
            <w:r>
              <w:rPr>
                <w:i/>
                <w:iCs/>
                <w:color w:val="808080"/>
              </w:rPr>
              <w:t>[Tenderer response here]</w:t>
            </w:r>
          </w:p>
        </w:tc>
      </w:tr>
    </w:tbl>
    <w:p w14:paraId="5C29E68A" w14:textId="77777777" w:rsidR="00C975AD" w:rsidRDefault="00E73EDB">
      <w:r>
        <w:br w:type="page"/>
      </w:r>
    </w:p>
    <w:p w14:paraId="4E7E1838" w14:textId="77777777" w:rsidR="00C975AD" w:rsidRDefault="00E73EDB">
      <w:pPr>
        <w:pStyle w:val="Heading2"/>
      </w:pPr>
      <w:r>
        <w:lastRenderedPageBreak/>
        <w:t xml:space="preserve">B.5 </w:t>
      </w:r>
      <w:proofErr w:type="gramStart"/>
      <w:r>
        <w:t>Non-functional</w:t>
      </w:r>
      <w:proofErr w:type="gramEnd"/>
      <w:r>
        <w:t xml:space="preserve"> requirements</w:t>
      </w:r>
    </w:p>
    <w:p w14:paraId="5673FF40" w14:textId="77777777" w:rsidR="00C975AD" w:rsidRDefault="00E73EDB">
      <w:pPr>
        <w:spacing w:before="120" w:after="80"/>
      </w:pPr>
      <w:r>
        <w:rPr>
          <w:b/>
          <w:bCs/>
        </w:rPr>
        <w:t>Response should address:</w:t>
      </w:r>
    </w:p>
    <w:p w14:paraId="3B140B19" w14:textId="77777777" w:rsidR="00C975AD" w:rsidRDefault="00E73EDB">
      <w:pPr>
        <w:pStyle w:val="ListParagraph"/>
        <w:numPr>
          <w:ilvl w:val="0"/>
          <w:numId w:val="2"/>
        </w:numPr>
        <w:spacing w:after="60" w:line="276" w:lineRule="auto"/>
      </w:pPr>
      <w:r>
        <w:t>performance targets for user-facing transactions under expected and peak load</w:t>
      </w:r>
    </w:p>
    <w:p w14:paraId="0AFA978D" w14:textId="77777777" w:rsidR="00C975AD" w:rsidRDefault="00E73EDB">
      <w:pPr>
        <w:pStyle w:val="ListParagraph"/>
        <w:numPr>
          <w:ilvl w:val="0"/>
          <w:numId w:val="2"/>
        </w:numPr>
        <w:spacing w:after="60" w:line="276" w:lineRule="auto"/>
      </w:pPr>
      <w:r>
        <w:t>availability target and any planned maintenance windows</w:t>
      </w:r>
    </w:p>
    <w:p w14:paraId="4A94AB0D" w14:textId="77777777" w:rsidR="00C975AD" w:rsidRDefault="00E73EDB">
      <w:pPr>
        <w:pStyle w:val="ListParagraph"/>
        <w:numPr>
          <w:ilvl w:val="0"/>
          <w:numId w:val="2"/>
        </w:numPr>
        <w:spacing w:after="60" w:line="276" w:lineRule="auto"/>
      </w:pPr>
      <w:r>
        <w:t>scalability approach, including how the platform handles re-registration peak periods</w:t>
      </w:r>
    </w:p>
    <w:p w14:paraId="4472FFB8" w14:textId="77777777" w:rsidR="00C975AD" w:rsidRDefault="00E73EDB">
      <w:pPr>
        <w:pStyle w:val="ListParagraph"/>
        <w:numPr>
          <w:ilvl w:val="0"/>
          <w:numId w:val="2"/>
        </w:numPr>
        <w:spacing w:after="60" w:line="276" w:lineRule="auto"/>
      </w:pPr>
      <w:r>
        <w:t>supported browsers and devices</w:t>
      </w:r>
    </w:p>
    <w:p w14:paraId="0AC90233" w14:textId="77777777" w:rsidR="00C975AD" w:rsidRDefault="00E73EDB">
      <w:pPr>
        <w:pStyle w:val="ListParagraph"/>
        <w:numPr>
          <w:ilvl w:val="0"/>
          <w:numId w:val="2"/>
        </w:numPr>
        <w:spacing w:after="60" w:line="276" w:lineRule="auto"/>
      </w:pPr>
      <w:r>
        <w:t>accessibility conformance, including approach to maintaining WCAG 2.1 AA or higher conformance through the contract term</w:t>
      </w:r>
    </w:p>
    <w:p w14:paraId="5C661586" w14:textId="77777777" w:rsidR="00C975AD" w:rsidRDefault="00E73EDB">
      <w:pPr>
        <w:pStyle w:val="ListParagraph"/>
        <w:numPr>
          <w:ilvl w:val="0"/>
          <w:numId w:val="2"/>
        </w:numPr>
        <w:spacing w:after="60" w:line="276" w:lineRule="auto"/>
      </w:pPr>
      <w:r>
        <w:t>disaster recovery and business continuity, including RPO and RTO</w:t>
      </w:r>
    </w:p>
    <w:p w14:paraId="53549BF5"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60121726"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6FEFDD84" w14:textId="77777777" w:rsidR="00C975AD" w:rsidRDefault="00E73EDB">
            <w:r>
              <w:rPr>
                <w:i/>
                <w:iCs/>
                <w:color w:val="808080"/>
              </w:rPr>
              <w:t>[Tenderer response here]</w:t>
            </w:r>
          </w:p>
        </w:tc>
      </w:tr>
    </w:tbl>
    <w:p w14:paraId="310EF2EF" w14:textId="77777777" w:rsidR="00C975AD" w:rsidRDefault="00E73EDB">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4E064B7E"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258A8468" w14:textId="77777777" w:rsidR="00C975AD" w:rsidRDefault="00E73EDB">
            <w:r>
              <w:rPr>
                <w:i/>
                <w:iCs/>
                <w:color w:val="808080"/>
              </w:rPr>
              <w:lastRenderedPageBreak/>
              <w:t>[Tenderer response here]</w:t>
            </w:r>
          </w:p>
        </w:tc>
      </w:tr>
    </w:tbl>
    <w:p w14:paraId="628B0613" w14:textId="77777777" w:rsidR="00C975AD" w:rsidRDefault="00E73EDB">
      <w:pPr>
        <w:pStyle w:val="Heading2"/>
      </w:pPr>
      <w:r>
        <w:t>B.6 Exit readiness and autonomous data extraction</w:t>
      </w:r>
    </w:p>
    <w:p w14:paraId="0A74F6EC" w14:textId="77777777" w:rsidR="00C975AD" w:rsidRDefault="00E73EDB">
      <w:pPr>
        <w:spacing w:before="120" w:after="80"/>
      </w:pPr>
      <w:r>
        <w:rPr>
          <w:b/>
          <w:bCs/>
        </w:rPr>
        <w:t>Response should address:</w:t>
      </w:r>
    </w:p>
    <w:p w14:paraId="4431846A" w14:textId="77777777" w:rsidR="00C975AD" w:rsidRDefault="00E73EDB">
      <w:pPr>
        <w:pStyle w:val="ListParagraph"/>
        <w:numPr>
          <w:ilvl w:val="0"/>
          <w:numId w:val="2"/>
        </w:numPr>
        <w:spacing w:after="60" w:line="276" w:lineRule="auto"/>
      </w:pPr>
      <w:r>
        <w:t>documented API endpoints that allow PHECC to extract its data autonomously and at full schema depth, including in scenarios involving accelerated contract transition or supplier disengagement</w:t>
      </w:r>
    </w:p>
    <w:p w14:paraId="3AB1B7B1" w14:textId="77777777" w:rsidR="00C975AD" w:rsidRDefault="00E73EDB">
      <w:pPr>
        <w:pStyle w:val="ListParagraph"/>
        <w:numPr>
          <w:ilvl w:val="0"/>
          <w:numId w:val="2"/>
        </w:numPr>
        <w:spacing w:after="60" w:line="276" w:lineRule="auto"/>
      </w:pPr>
      <w:r>
        <w:t>schema completeness of the autonomous extraction, including all entities, relationships, attributes, document attachments and audit history</w:t>
      </w:r>
    </w:p>
    <w:p w14:paraId="4EE0CB54" w14:textId="77777777" w:rsidR="00C975AD" w:rsidRDefault="00E73EDB">
      <w:pPr>
        <w:pStyle w:val="ListParagraph"/>
        <w:numPr>
          <w:ilvl w:val="0"/>
          <w:numId w:val="2"/>
        </w:numPr>
        <w:spacing w:after="60" w:line="276" w:lineRule="auto"/>
      </w:pPr>
      <w:r>
        <w:t>authentication mechanism for autonomous extraction by PHECC, including credential management and rotation</w:t>
      </w:r>
    </w:p>
    <w:p w14:paraId="20E5410A" w14:textId="77777777" w:rsidR="00C975AD" w:rsidRDefault="00E73EDB">
      <w:pPr>
        <w:pStyle w:val="ListParagraph"/>
        <w:numPr>
          <w:ilvl w:val="0"/>
          <w:numId w:val="2"/>
        </w:numPr>
        <w:spacing w:after="60" w:line="276" w:lineRule="auto"/>
      </w:pPr>
      <w:r>
        <w:t>any rate limits, volume constraints or operational constraints that apply to autonomous extraction</w:t>
      </w:r>
    </w:p>
    <w:p w14:paraId="15FCE936" w14:textId="77777777" w:rsidR="00C975AD" w:rsidRDefault="00E73EDB">
      <w:pPr>
        <w:pStyle w:val="ListParagraph"/>
        <w:numPr>
          <w:ilvl w:val="0"/>
          <w:numId w:val="2"/>
        </w:numPr>
        <w:spacing w:after="60" w:line="276" w:lineRule="auto"/>
      </w:pPr>
      <w:r>
        <w:t>format of extracted data (open, structured, non-proprietary) and the schema documentation provided to PHECC</w:t>
      </w:r>
    </w:p>
    <w:p w14:paraId="228B8886" w14:textId="77777777" w:rsidR="00C975AD" w:rsidRDefault="00E73EDB">
      <w:pPr>
        <w:pStyle w:val="ListParagraph"/>
        <w:numPr>
          <w:ilvl w:val="0"/>
          <w:numId w:val="2"/>
        </w:numPr>
        <w:spacing w:after="60" w:line="276" w:lineRule="auto"/>
      </w:pPr>
      <w:r>
        <w:t>how the supplier supports an accelerated provider transition scenario where PHECC extracts and transitions its data ahead of standard exit timelines</w:t>
      </w:r>
    </w:p>
    <w:p w14:paraId="5E01303B"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296F4E2C"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6EA42012" w14:textId="77777777" w:rsidR="00C975AD" w:rsidRDefault="00E73EDB">
            <w:r>
              <w:rPr>
                <w:i/>
                <w:iCs/>
                <w:color w:val="808080"/>
              </w:rPr>
              <w:t>[Tenderer response here]</w:t>
            </w:r>
          </w:p>
        </w:tc>
      </w:tr>
    </w:tbl>
    <w:p w14:paraId="2E16BCBC" w14:textId="77777777" w:rsidR="00C975AD" w:rsidRDefault="00E73EDB">
      <w:r>
        <w:br w:type="page"/>
      </w:r>
    </w:p>
    <w:p w14:paraId="39534E77" w14:textId="77777777" w:rsidR="00C975AD" w:rsidRDefault="00E73EDB">
      <w:pPr>
        <w:pStyle w:val="Heading1"/>
      </w:pPr>
      <w:r>
        <w:lastRenderedPageBreak/>
        <w:t>C. Implementation methodology and plan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6"/>
        <w:gridCol w:w="4536"/>
      </w:tblGrid>
      <w:tr w:rsidR="00C975AD" w14:paraId="4236D459" w14:textId="77777777">
        <w:tc>
          <w:tcPr>
            <w:tcW w:w="4536"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4BF600B9" w14:textId="77777777" w:rsidR="00C975AD" w:rsidRDefault="00E73EDB">
            <w:pPr>
              <w:spacing w:before="60" w:after="60"/>
            </w:pPr>
            <w:r>
              <w:rPr>
                <w:b/>
                <w:bCs/>
              </w:rPr>
              <w:t>Weighting: 10% of total score</w:t>
            </w:r>
          </w:p>
        </w:tc>
        <w:tc>
          <w:tcPr>
            <w:tcW w:w="4536"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37869CB6" w14:textId="77777777" w:rsidR="00C975AD" w:rsidRDefault="00E73EDB">
            <w:pPr>
              <w:spacing w:before="60" w:after="60"/>
            </w:pPr>
            <w:r>
              <w:rPr>
                <w:b/>
                <w:bCs/>
              </w:rPr>
              <w:t>Page limit: 6 pages (excluding the Implementation Plan appendix at C.2, which sits outside the page limit)</w:t>
            </w:r>
          </w:p>
        </w:tc>
      </w:tr>
    </w:tbl>
    <w:p w14:paraId="4C7D3931" w14:textId="77777777" w:rsidR="00C975AD" w:rsidRDefault="00C975AD"/>
    <w:p w14:paraId="7B07E4FD" w14:textId="77777777" w:rsidR="00C975AD" w:rsidRDefault="00E73EDB">
      <w:pPr>
        <w:spacing w:after="120" w:line="276" w:lineRule="auto"/>
      </w:pPr>
      <w:r>
        <w:rPr>
          <w:color w:val="000000"/>
        </w:rPr>
        <w:t>Section C assesses the proposed approach to implementing the BIS, including methodology, plan, governance, risk, change management, testing and go-live.</w:t>
      </w:r>
    </w:p>
    <w:p w14:paraId="78E8B618" w14:textId="77777777" w:rsidR="00C975AD" w:rsidRDefault="00E73EDB">
      <w:pPr>
        <w:pBdr>
          <w:left w:val="single" w:sz="18" w:space="0" w:color="C55A11"/>
        </w:pBdr>
        <w:spacing w:before="120" w:after="120"/>
        <w:ind w:left="200"/>
      </w:pPr>
      <w:r>
        <w:rPr>
          <w:b/>
          <w:bCs/>
          <w:color w:val="1F3864"/>
        </w:rPr>
        <w:t xml:space="preserve">Response expectations: </w:t>
      </w:r>
      <w:r>
        <w:t>Tenderers should provide clear, specific and solution-based responses. Generic marketing material, vague claims or references to future capability without supporting explanation may receive lower scores. Evidence-based answers grounded in the proposed solution are expected.</w:t>
      </w:r>
    </w:p>
    <w:p w14:paraId="129E9E0C" w14:textId="77777777" w:rsidR="00C975AD" w:rsidRDefault="00E73EDB">
      <w:pPr>
        <w:pStyle w:val="Heading2"/>
      </w:pPr>
      <w:r>
        <w:t>C.1 Implementation methodology</w:t>
      </w:r>
    </w:p>
    <w:p w14:paraId="6A21F86A" w14:textId="77777777" w:rsidR="00C975AD" w:rsidRDefault="00E73EDB">
      <w:pPr>
        <w:spacing w:before="120" w:after="80"/>
      </w:pPr>
      <w:r>
        <w:rPr>
          <w:b/>
          <w:bCs/>
        </w:rPr>
        <w:t>Response should address:</w:t>
      </w:r>
    </w:p>
    <w:p w14:paraId="3443F458" w14:textId="77777777" w:rsidR="00C975AD" w:rsidRDefault="00E73EDB">
      <w:pPr>
        <w:pStyle w:val="ListParagraph"/>
        <w:numPr>
          <w:ilvl w:val="0"/>
          <w:numId w:val="2"/>
        </w:numPr>
        <w:spacing w:after="60" w:line="276" w:lineRule="auto"/>
      </w:pPr>
      <w:r>
        <w:t>overall methodology proposed (waterfall, agile, hybrid) and rationale for its fit with PHECC's context</w:t>
      </w:r>
    </w:p>
    <w:p w14:paraId="2E0194C8" w14:textId="77777777" w:rsidR="00C975AD" w:rsidRDefault="00E73EDB">
      <w:pPr>
        <w:pStyle w:val="ListParagraph"/>
        <w:numPr>
          <w:ilvl w:val="0"/>
          <w:numId w:val="2"/>
        </w:numPr>
        <w:spacing w:after="60" w:line="276" w:lineRule="auto"/>
      </w:pPr>
      <w:r>
        <w:t>how PHECC is involved at each stage and the expected effort from PHECC staff</w:t>
      </w:r>
    </w:p>
    <w:p w14:paraId="0DB59B12" w14:textId="77777777" w:rsidR="00C975AD" w:rsidRDefault="00E73EDB">
      <w:pPr>
        <w:pStyle w:val="ListParagraph"/>
        <w:numPr>
          <w:ilvl w:val="0"/>
          <w:numId w:val="2"/>
        </w:numPr>
        <w:spacing w:after="60" w:line="276" w:lineRule="auto"/>
      </w:pPr>
      <w:r>
        <w:t>how requirements are clarified, prioritised and signed off through implementation</w:t>
      </w:r>
    </w:p>
    <w:p w14:paraId="0B0AAFEC" w14:textId="77777777" w:rsidR="00C975AD" w:rsidRDefault="00E73EDB">
      <w:pPr>
        <w:pStyle w:val="ListParagraph"/>
        <w:numPr>
          <w:ilvl w:val="0"/>
          <w:numId w:val="2"/>
        </w:numPr>
        <w:spacing w:after="60" w:line="276" w:lineRule="auto"/>
      </w:pPr>
      <w:r>
        <w:t>approach to dependencies, including integration with the existing examinations system and migration from the existing registration system</w:t>
      </w:r>
    </w:p>
    <w:p w14:paraId="340BB4EC"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6CD496E3"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40288073" w14:textId="77777777" w:rsidR="00C975AD" w:rsidRDefault="00E73EDB">
            <w:r>
              <w:rPr>
                <w:i/>
                <w:iCs/>
                <w:color w:val="808080"/>
              </w:rPr>
              <w:t>[Tenderer response here]</w:t>
            </w:r>
          </w:p>
        </w:tc>
      </w:tr>
    </w:tbl>
    <w:p w14:paraId="32AD7DDF" w14:textId="77777777" w:rsidR="00C975AD" w:rsidRDefault="00E73EDB">
      <w:r>
        <w:br w:type="page"/>
      </w:r>
    </w:p>
    <w:p w14:paraId="44C2B425" w14:textId="77777777" w:rsidR="00C975AD" w:rsidRDefault="00E73EDB">
      <w:pPr>
        <w:pStyle w:val="Heading2"/>
      </w:pPr>
      <w:r>
        <w:lastRenderedPageBreak/>
        <w:t>C.2 Implementation Plan</w:t>
      </w:r>
    </w:p>
    <w:p w14:paraId="7C85CB00" w14:textId="77777777" w:rsidR="00C975AD" w:rsidRDefault="00E73EDB">
      <w:pPr>
        <w:spacing w:before="120" w:after="80"/>
      </w:pPr>
      <w:r>
        <w:rPr>
          <w:b/>
          <w:bCs/>
        </w:rPr>
        <w:t>Tenderers must submit a deliverable Implementation Plan covering the three-phase rollout (Phase 1 Registration plus Recognition of Qualifications; Phase 2 Accreditation; Phase 3 Recognised Institutions and Approved Training Institutions) together with the continuous integrations workstream that runs across all phases. The Implementation Plan should address:</w:t>
      </w:r>
    </w:p>
    <w:p w14:paraId="33C9BDDB" w14:textId="77777777" w:rsidR="00C975AD" w:rsidRDefault="00E73EDB">
      <w:pPr>
        <w:pStyle w:val="ListParagraph"/>
        <w:numPr>
          <w:ilvl w:val="0"/>
          <w:numId w:val="2"/>
        </w:numPr>
        <w:spacing w:after="60" w:line="276" w:lineRule="auto"/>
      </w:pPr>
      <w:r>
        <w:t>the phase structure and scope: Phase 1 (Registration + RoQ), Phase 2 (Accreditation), Phase 3 (RI/ATI), plus the continuous integrations workstream covering GRIP, SAGE, payment gateway, identity provider and other PHECC systems</w:t>
      </w:r>
    </w:p>
    <w:p w14:paraId="5D8541F7" w14:textId="77777777" w:rsidR="00C975AD" w:rsidRDefault="00E73EDB">
      <w:pPr>
        <w:pStyle w:val="ListParagraph"/>
        <w:numPr>
          <w:ilvl w:val="0"/>
          <w:numId w:val="2"/>
        </w:numPr>
        <w:spacing w:after="60" w:line="276" w:lineRule="auto"/>
      </w:pPr>
      <w:r>
        <w:t xml:space="preserve">named milestones per phase with target dates (initiation, design freeze, build, test, go-live, </w:t>
      </w:r>
      <w:proofErr w:type="spellStart"/>
      <w:r>
        <w:t>hypercare</w:t>
      </w:r>
      <w:proofErr w:type="spellEnd"/>
      <w:r>
        <w:t>) measured from contract Effective Date</w:t>
      </w:r>
    </w:p>
    <w:p w14:paraId="5C407E8A" w14:textId="77777777" w:rsidR="00C975AD" w:rsidRDefault="00E73EDB">
      <w:pPr>
        <w:pStyle w:val="ListParagraph"/>
        <w:numPr>
          <w:ilvl w:val="0"/>
          <w:numId w:val="2"/>
        </w:numPr>
        <w:spacing w:after="60" w:line="276" w:lineRule="auto"/>
      </w:pPr>
      <w:r>
        <w:t>acceptance criteria per milestone and acceptance gates between phases, including how Phase 2 readiness is confirmed before commencement and how Phase 3 readiness is confirmed before commencement</w:t>
      </w:r>
    </w:p>
    <w:p w14:paraId="31435DDC" w14:textId="77777777" w:rsidR="00C975AD" w:rsidRDefault="00E73EDB">
      <w:pPr>
        <w:pStyle w:val="ListParagraph"/>
        <w:numPr>
          <w:ilvl w:val="0"/>
          <w:numId w:val="2"/>
        </w:numPr>
        <w:spacing w:after="60" w:line="276" w:lineRule="auto"/>
      </w:pPr>
      <w:r>
        <w:t>resource plan: roles, FTE allocations, ramp-up and ramp-down profile per phase, including PHECC-side resources required</w:t>
      </w:r>
    </w:p>
    <w:p w14:paraId="00747FB7" w14:textId="77777777" w:rsidR="00C975AD" w:rsidRDefault="00E73EDB">
      <w:pPr>
        <w:pStyle w:val="ListParagraph"/>
        <w:numPr>
          <w:ilvl w:val="0"/>
          <w:numId w:val="2"/>
        </w:numPr>
        <w:spacing w:after="60" w:line="276" w:lineRule="auto"/>
      </w:pPr>
      <w:r>
        <w:t>payment milestones aligned to phase delivery and acceptance</w:t>
      </w:r>
    </w:p>
    <w:p w14:paraId="10544B34" w14:textId="77777777" w:rsidR="00C975AD" w:rsidRDefault="00E73EDB">
      <w:pPr>
        <w:pStyle w:val="ListParagraph"/>
        <w:numPr>
          <w:ilvl w:val="0"/>
          <w:numId w:val="2"/>
        </w:numPr>
        <w:spacing w:after="60" w:line="276" w:lineRule="auto"/>
      </w:pPr>
      <w:r>
        <w:t>dependencies, including PHECC-side resources, third-party integrations and any prerequisites; risks and proposed mitigations; critical path identified</w:t>
      </w:r>
    </w:p>
    <w:p w14:paraId="0CD5B474" w14:textId="77777777" w:rsidR="00C975AD" w:rsidRDefault="00E73EDB">
      <w:pPr>
        <w:spacing w:after="60" w:line="276" w:lineRule="auto"/>
      </w:pPr>
      <w:r>
        <w:t>The Implementation Plan is submitted as Appendix C2 to the Response Templates, structured as: (</w:t>
      </w:r>
      <w:proofErr w:type="spellStart"/>
      <w:r>
        <w:t>i</w:t>
      </w:r>
      <w:proofErr w:type="spellEnd"/>
      <w:r>
        <w:t>) Gantt-style timeline showing all three phases plus the integrations workstream; (ii) milestone table per phase; (iii) resource plan; (iv) dependencies, risks and critical path. Appendix C2 sits outside the Section C page limit. The Section C narrative (Sections C.1 and C.3 to C.7) summarises and references the Implementation Plan; it does not duplicate it.</w:t>
      </w:r>
    </w:p>
    <w:p w14:paraId="7D788BB5"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25849490"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1494A4D7" w14:textId="77777777" w:rsidR="00C975AD" w:rsidRDefault="00E73EDB">
            <w:r>
              <w:rPr>
                <w:i/>
                <w:iCs/>
                <w:color w:val="808080"/>
              </w:rPr>
              <w:t>[Tenderer response here]</w:t>
            </w:r>
          </w:p>
        </w:tc>
      </w:tr>
    </w:tbl>
    <w:p w14:paraId="6A442496" w14:textId="77777777" w:rsidR="00C975AD" w:rsidRDefault="00E73EDB">
      <w:r>
        <w:br w:type="page"/>
      </w:r>
    </w:p>
    <w:p w14:paraId="533C8B3F" w14:textId="77777777" w:rsidR="00C975AD" w:rsidRDefault="00E73EDB">
      <w:pPr>
        <w:pStyle w:val="Heading2"/>
      </w:pPr>
      <w:r>
        <w:lastRenderedPageBreak/>
        <w:t>C.3 Project governance and key roles</w:t>
      </w:r>
    </w:p>
    <w:p w14:paraId="54B6DA49" w14:textId="77777777" w:rsidR="00C975AD" w:rsidRDefault="00E73EDB">
      <w:pPr>
        <w:spacing w:before="120" w:after="80"/>
      </w:pPr>
      <w:r>
        <w:rPr>
          <w:b/>
          <w:bCs/>
        </w:rPr>
        <w:t>Response should address:</w:t>
      </w:r>
    </w:p>
    <w:p w14:paraId="05E0F9AA" w14:textId="77777777" w:rsidR="00C975AD" w:rsidRDefault="00E73EDB">
      <w:pPr>
        <w:pStyle w:val="ListParagraph"/>
        <w:numPr>
          <w:ilvl w:val="0"/>
          <w:numId w:val="2"/>
        </w:numPr>
        <w:spacing w:after="60" w:line="276" w:lineRule="auto"/>
      </w:pPr>
      <w:r>
        <w:t>proposed governance structure, including Steering Group, Project Board and working groups</w:t>
      </w:r>
    </w:p>
    <w:p w14:paraId="22D6ABC0" w14:textId="77777777" w:rsidR="00C975AD" w:rsidRDefault="00E73EDB">
      <w:pPr>
        <w:pStyle w:val="ListParagraph"/>
        <w:numPr>
          <w:ilvl w:val="0"/>
          <w:numId w:val="2"/>
        </w:numPr>
        <w:spacing w:after="60" w:line="276" w:lineRule="auto"/>
      </w:pPr>
      <w:r>
        <w:t>supplier key roles by name, with CVs annexed to the tender response</w:t>
      </w:r>
    </w:p>
    <w:p w14:paraId="2087B90C" w14:textId="77777777" w:rsidR="00C975AD" w:rsidRDefault="00E73EDB">
      <w:pPr>
        <w:pStyle w:val="ListParagraph"/>
        <w:numPr>
          <w:ilvl w:val="0"/>
          <w:numId w:val="2"/>
        </w:numPr>
        <w:spacing w:after="60" w:line="276" w:lineRule="auto"/>
      </w:pPr>
      <w:r>
        <w:t>expected PHECC roles and time commitment, including business owner, technical lead, change manager and end-user representatives</w:t>
      </w:r>
    </w:p>
    <w:p w14:paraId="11D2C21A" w14:textId="77777777" w:rsidR="00C975AD" w:rsidRDefault="00E73EDB">
      <w:pPr>
        <w:pStyle w:val="ListParagraph"/>
        <w:numPr>
          <w:ilvl w:val="0"/>
          <w:numId w:val="2"/>
        </w:numPr>
        <w:spacing w:after="60" w:line="276" w:lineRule="auto"/>
      </w:pPr>
      <w:r>
        <w:t>decision-making and escalation routes, with named decision-makers at each level</w:t>
      </w:r>
    </w:p>
    <w:p w14:paraId="5D6D1086" w14:textId="77777777" w:rsidR="00C975AD" w:rsidRDefault="00E73EDB">
      <w:pPr>
        <w:pStyle w:val="ListParagraph"/>
        <w:numPr>
          <w:ilvl w:val="0"/>
          <w:numId w:val="2"/>
        </w:numPr>
        <w:spacing w:after="60" w:line="276" w:lineRule="auto"/>
      </w:pPr>
      <w:r>
        <w:t>RAID (risks, assumptions, issues, dependencies) management approach, tooling and reporting cadence</w:t>
      </w:r>
    </w:p>
    <w:p w14:paraId="3C1FBD8C" w14:textId="77777777" w:rsidR="00C975AD" w:rsidRDefault="00E73EDB">
      <w:pPr>
        <w:pStyle w:val="ListParagraph"/>
        <w:numPr>
          <w:ilvl w:val="0"/>
          <w:numId w:val="2"/>
        </w:numPr>
        <w:spacing w:after="60" w:line="276" w:lineRule="auto"/>
      </w:pPr>
      <w:r>
        <w:t>change control process for scope, schedule and budget, including approval thresholds</w:t>
      </w:r>
    </w:p>
    <w:p w14:paraId="28B767AC" w14:textId="77777777" w:rsidR="00C975AD" w:rsidRDefault="00E73EDB">
      <w:pPr>
        <w:pStyle w:val="ListParagraph"/>
        <w:numPr>
          <w:ilvl w:val="0"/>
          <w:numId w:val="2"/>
        </w:numPr>
        <w:spacing w:after="60" w:line="276" w:lineRule="auto"/>
      </w:pPr>
      <w:r>
        <w:t>dependency management approach across in-flight workstreams, integrations and external parties</w:t>
      </w:r>
    </w:p>
    <w:p w14:paraId="1F10F3B9" w14:textId="77777777" w:rsidR="00C975AD" w:rsidRDefault="00E73EDB">
      <w:pPr>
        <w:pStyle w:val="ListParagraph"/>
        <w:numPr>
          <w:ilvl w:val="0"/>
          <w:numId w:val="2"/>
        </w:numPr>
        <w:spacing w:after="60" w:line="276" w:lineRule="auto"/>
      </w:pPr>
      <w:r>
        <w:t>customer responsibilities and expected PHECC effort, by phase, expressed in person-days where possible</w:t>
      </w:r>
    </w:p>
    <w:p w14:paraId="6862C98F"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6CDD9C59"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30DB6C7C" w14:textId="77777777" w:rsidR="00C975AD" w:rsidRDefault="00E73EDB">
            <w:r>
              <w:rPr>
                <w:i/>
                <w:iCs/>
                <w:color w:val="808080"/>
              </w:rPr>
              <w:t>[Tenderer response here]</w:t>
            </w:r>
          </w:p>
        </w:tc>
      </w:tr>
    </w:tbl>
    <w:p w14:paraId="0CC3F13B" w14:textId="77777777" w:rsidR="00C975AD" w:rsidRDefault="00E73EDB">
      <w:r>
        <w:br w:type="page"/>
      </w:r>
    </w:p>
    <w:p w14:paraId="540A1151" w14:textId="77777777" w:rsidR="00C975AD" w:rsidRDefault="00E73EDB">
      <w:pPr>
        <w:pStyle w:val="Heading2"/>
      </w:pPr>
      <w:r>
        <w:lastRenderedPageBreak/>
        <w:t>C.4 Risk management</w:t>
      </w:r>
    </w:p>
    <w:p w14:paraId="214722B3" w14:textId="77777777" w:rsidR="00C975AD" w:rsidRDefault="00E73EDB">
      <w:pPr>
        <w:spacing w:before="120" w:after="80"/>
      </w:pPr>
      <w:r>
        <w:rPr>
          <w:b/>
          <w:bCs/>
        </w:rPr>
        <w:t>Response should address:</w:t>
      </w:r>
    </w:p>
    <w:p w14:paraId="410AF170" w14:textId="77777777" w:rsidR="00C975AD" w:rsidRDefault="00E73EDB">
      <w:pPr>
        <w:pStyle w:val="ListParagraph"/>
        <w:numPr>
          <w:ilvl w:val="0"/>
          <w:numId w:val="2"/>
        </w:numPr>
        <w:spacing w:after="60" w:line="276" w:lineRule="auto"/>
      </w:pPr>
      <w:r>
        <w:t>approach to risk identification, assessment and mitigation through the contract life</w:t>
      </w:r>
    </w:p>
    <w:p w14:paraId="5BDD294E" w14:textId="77777777" w:rsidR="00C975AD" w:rsidRDefault="00E73EDB">
      <w:pPr>
        <w:pStyle w:val="ListParagraph"/>
        <w:numPr>
          <w:ilvl w:val="0"/>
          <w:numId w:val="2"/>
        </w:numPr>
        <w:spacing w:after="60" w:line="276" w:lineRule="auto"/>
      </w:pPr>
      <w:r>
        <w:t>the top five risks the supplier identifies for this implementation, with proposed mitigations</w:t>
      </w:r>
    </w:p>
    <w:p w14:paraId="4E868A73" w14:textId="77777777" w:rsidR="00C975AD" w:rsidRDefault="00E73EDB">
      <w:pPr>
        <w:pStyle w:val="ListParagraph"/>
        <w:numPr>
          <w:ilvl w:val="0"/>
          <w:numId w:val="2"/>
        </w:numPr>
        <w:spacing w:after="60" w:line="276" w:lineRule="auto"/>
      </w:pPr>
      <w:r>
        <w:t>approach to issue management and to escalation where risks crystallise</w:t>
      </w:r>
    </w:p>
    <w:p w14:paraId="1A7A33F3"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54419949"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5D27A068" w14:textId="77777777" w:rsidR="00C975AD" w:rsidRDefault="00E73EDB">
            <w:r>
              <w:rPr>
                <w:i/>
                <w:iCs/>
                <w:color w:val="808080"/>
              </w:rPr>
              <w:t>[Tenderer response here]</w:t>
            </w:r>
          </w:p>
        </w:tc>
      </w:tr>
    </w:tbl>
    <w:p w14:paraId="73A267BF" w14:textId="77777777" w:rsidR="00C975AD" w:rsidRDefault="00E73EDB">
      <w:r>
        <w:br w:type="page"/>
      </w:r>
    </w:p>
    <w:p w14:paraId="38730F9C" w14:textId="77777777" w:rsidR="00C975AD" w:rsidRDefault="00E73EDB">
      <w:pPr>
        <w:pStyle w:val="Heading2"/>
      </w:pPr>
      <w:r>
        <w:lastRenderedPageBreak/>
        <w:t>C.5 Change management and training</w:t>
      </w:r>
    </w:p>
    <w:p w14:paraId="312AAC03" w14:textId="77777777" w:rsidR="00C975AD" w:rsidRDefault="00E73EDB">
      <w:pPr>
        <w:spacing w:before="120" w:after="80"/>
      </w:pPr>
      <w:r>
        <w:rPr>
          <w:b/>
          <w:bCs/>
        </w:rPr>
        <w:t>Response should address:</w:t>
      </w:r>
    </w:p>
    <w:p w14:paraId="4D15CED9" w14:textId="77777777" w:rsidR="00C975AD" w:rsidRDefault="00E73EDB">
      <w:pPr>
        <w:pStyle w:val="ListParagraph"/>
        <w:numPr>
          <w:ilvl w:val="0"/>
          <w:numId w:val="2"/>
        </w:numPr>
        <w:spacing w:after="60" w:line="276" w:lineRule="auto"/>
      </w:pPr>
      <w:r>
        <w:t>approach to managing the change for PHECC staff, registrants, applicants and training institutions</w:t>
      </w:r>
    </w:p>
    <w:p w14:paraId="58AD39EA" w14:textId="77777777" w:rsidR="00C975AD" w:rsidRDefault="00E73EDB">
      <w:pPr>
        <w:pStyle w:val="ListParagraph"/>
        <w:numPr>
          <w:ilvl w:val="0"/>
          <w:numId w:val="2"/>
        </w:numPr>
        <w:spacing w:after="60" w:line="276" w:lineRule="auto"/>
      </w:pPr>
      <w:r>
        <w:t>training plan for PHECC staff across the five business areas, including delivery method and effort</w:t>
      </w:r>
    </w:p>
    <w:p w14:paraId="0893B31B" w14:textId="77777777" w:rsidR="00C975AD" w:rsidRDefault="00E73EDB">
      <w:pPr>
        <w:pStyle w:val="ListParagraph"/>
        <w:numPr>
          <w:ilvl w:val="0"/>
          <w:numId w:val="2"/>
        </w:numPr>
        <w:spacing w:after="60" w:line="276" w:lineRule="auto"/>
      </w:pPr>
      <w:r>
        <w:t>support material for external users (registrants, applicants, institutions), including in-product guidance and reference material</w:t>
      </w:r>
    </w:p>
    <w:p w14:paraId="254AD845" w14:textId="77777777" w:rsidR="00C975AD" w:rsidRDefault="00E73EDB">
      <w:pPr>
        <w:pStyle w:val="ListParagraph"/>
        <w:numPr>
          <w:ilvl w:val="0"/>
          <w:numId w:val="2"/>
        </w:numPr>
        <w:spacing w:after="60" w:line="276" w:lineRule="auto"/>
      </w:pPr>
      <w:r>
        <w:t>approach to building PHECC capability to administer and configure the platform after go-live</w:t>
      </w:r>
    </w:p>
    <w:p w14:paraId="43579127"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6D4253B0"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116866F4" w14:textId="77777777" w:rsidR="00C975AD" w:rsidRDefault="00E73EDB">
            <w:r>
              <w:rPr>
                <w:i/>
                <w:iCs/>
                <w:color w:val="808080"/>
              </w:rPr>
              <w:t>[Tenderer response here]</w:t>
            </w:r>
          </w:p>
        </w:tc>
      </w:tr>
    </w:tbl>
    <w:p w14:paraId="249177DB" w14:textId="77777777" w:rsidR="00C975AD" w:rsidRDefault="00E73EDB">
      <w:r>
        <w:br w:type="page"/>
      </w:r>
    </w:p>
    <w:p w14:paraId="7BAFDC34" w14:textId="77777777" w:rsidR="00C975AD" w:rsidRDefault="00E73EDB">
      <w:pPr>
        <w:pStyle w:val="Heading2"/>
      </w:pPr>
      <w:r>
        <w:lastRenderedPageBreak/>
        <w:t>C.6 Acceptance testing</w:t>
      </w:r>
    </w:p>
    <w:p w14:paraId="249FBA51" w14:textId="77777777" w:rsidR="00C975AD" w:rsidRDefault="00E73EDB">
      <w:pPr>
        <w:spacing w:before="120" w:after="80"/>
      </w:pPr>
      <w:r>
        <w:rPr>
          <w:b/>
          <w:bCs/>
        </w:rPr>
        <w:t>Response should address:</w:t>
      </w:r>
    </w:p>
    <w:p w14:paraId="1EBB7FFB" w14:textId="77777777" w:rsidR="00C975AD" w:rsidRDefault="00E73EDB">
      <w:pPr>
        <w:pStyle w:val="ListParagraph"/>
        <w:numPr>
          <w:ilvl w:val="0"/>
          <w:numId w:val="2"/>
        </w:numPr>
        <w:spacing w:after="60" w:line="276" w:lineRule="auto"/>
      </w:pPr>
      <w:r>
        <w:t>approach to user acceptance testing across the five business areas</w:t>
      </w:r>
    </w:p>
    <w:p w14:paraId="1A298FC3" w14:textId="77777777" w:rsidR="00C975AD" w:rsidRDefault="00E73EDB">
      <w:pPr>
        <w:pStyle w:val="ListParagraph"/>
        <w:numPr>
          <w:ilvl w:val="0"/>
          <w:numId w:val="2"/>
        </w:numPr>
        <w:spacing w:after="60" w:line="276" w:lineRule="auto"/>
      </w:pPr>
      <w:r>
        <w:t>PHECC effort expected for UAT and how it is supported</w:t>
      </w:r>
    </w:p>
    <w:p w14:paraId="477CDB92" w14:textId="77777777" w:rsidR="00C975AD" w:rsidRDefault="00E73EDB">
      <w:pPr>
        <w:pStyle w:val="ListParagraph"/>
        <w:numPr>
          <w:ilvl w:val="0"/>
          <w:numId w:val="2"/>
        </w:numPr>
        <w:spacing w:after="60" w:line="276" w:lineRule="auto"/>
      </w:pPr>
      <w:r>
        <w:t>test environments provided and the test data approach</w:t>
      </w:r>
    </w:p>
    <w:p w14:paraId="1C003E91" w14:textId="77777777" w:rsidR="00C975AD" w:rsidRDefault="00E73EDB">
      <w:pPr>
        <w:pStyle w:val="ListParagraph"/>
        <w:numPr>
          <w:ilvl w:val="0"/>
          <w:numId w:val="2"/>
        </w:numPr>
        <w:spacing w:after="60" w:line="276" w:lineRule="auto"/>
      </w:pPr>
      <w:r>
        <w:t>approach to defect management and acceptance criteria for each phase and for full go-live</w:t>
      </w:r>
    </w:p>
    <w:p w14:paraId="506D01F0"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1A562661"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00F0360C" w14:textId="77777777" w:rsidR="00C975AD" w:rsidRDefault="00E73EDB">
            <w:r>
              <w:rPr>
                <w:i/>
                <w:iCs/>
                <w:color w:val="808080"/>
              </w:rPr>
              <w:t>[Tenderer response here]</w:t>
            </w:r>
          </w:p>
        </w:tc>
      </w:tr>
    </w:tbl>
    <w:p w14:paraId="760B1DAB" w14:textId="77777777" w:rsidR="00C975AD" w:rsidRDefault="00E73EDB">
      <w:r>
        <w:br w:type="page"/>
      </w:r>
    </w:p>
    <w:p w14:paraId="237E2AF0" w14:textId="77777777" w:rsidR="00C975AD" w:rsidRDefault="00E73EDB">
      <w:pPr>
        <w:pStyle w:val="Heading2"/>
      </w:pPr>
      <w:r>
        <w:lastRenderedPageBreak/>
        <w:t xml:space="preserve">C.7 Cutover, go-live and </w:t>
      </w:r>
      <w:proofErr w:type="spellStart"/>
      <w:r>
        <w:t>hypercare</w:t>
      </w:r>
      <w:proofErr w:type="spellEnd"/>
    </w:p>
    <w:p w14:paraId="3A41F428" w14:textId="77777777" w:rsidR="00C975AD" w:rsidRDefault="00E73EDB">
      <w:pPr>
        <w:spacing w:before="120" w:after="80"/>
      </w:pPr>
      <w:r>
        <w:rPr>
          <w:b/>
          <w:bCs/>
        </w:rPr>
        <w:t>Response should address:</w:t>
      </w:r>
    </w:p>
    <w:p w14:paraId="0F407A80" w14:textId="77777777" w:rsidR="00C975AD" w:rsidRDefault="00E73EDB">
      <w:pPr>
        <w:pStyle w:val="ListParagraph"/>
        <w:numPr>
          <w:ilvl w:val="0"/>
          <w:numId w:val="2"/>
        </w:numPr>
        <w:spacing w:after="60" w:line="276" w:lineRule="auto"/>
      </w:pPr>
      <w:r>
        <w:t>cutover plan from the existing registration system and manual systems to the BIS, including data freeze and reconciliation</w:t>
      </w:r>
    </w:p>
    <w:p w14:paraId="37A83D6B" w14:textId="77777777" w:rsidR="00C975AD" w:rsidRDefault="00E73EDB">
      <w:pPr>
        <w:pStyle w:val="ListParagraph"/>
        <w:numPr>
          <w:ilvl w:val="0"/>
          <w:numId w:val="2"/>
        </w:numPr>
        <w:spacing w:after="60" w:line="276" w:lineRule="auto"/>
      </w:pPr>
      <w:r>
        <w:t>go-live decision criteria and fallback options</w:t>
      </w:r>
    </w:p>
    <w:p w14:paraId="4C48FF32" w14:textId="77777777" w:rsidR="00C975AD" w:rsidRDefault="00E73EDB">
      <w:pPr>
        <w:pStyle w:val="ListParagraph"/>
        <w:numPr>
          <w:ilvl w:val="0"/>
          <w:numId w:val="2"/>
        </w:numPr>
        <w:spacing w:after="60" w:line="276" w:lineRule="auto"/>
      </w:pPr>
      <w:proofErr w:type="spellStart"/>
      <w:r>
        <w:t>hypercare</w:t>
      </w:r>
      <w:proofErr w:type="spellEnd"/>
      <w:r>
        <w:t xml:space="preserve"> period proposed, including duration, supplier presence and support arrangements</w:t>
      </w:r>
    </w:p>
    <w:p w14:paraId="27730C63" w14:textId="77777777" w:rsidR="00C975AD" w:rsidRDefault="00E73EDB">
      <w:pPr>
        <w:pStyle w:val="ListParagraph"/>
        <w:numPr>
          <w:ilvl w:val="0"/>
          <w:numId w:val="2"/>
        </w:numPr>
        <w:spacing w:after="60" w:line="276" w:lineRule="auto"/>
      </w:pPr>
      <w:r>
        <w:t xml:space="preserve">transition from </w:t>
      </w:r>
      <w:proofErr w:type="spellStart"/>
      <w:r>
        <w:t>hypercare</w:t>
      </w:r>
      <w:proofErr w:type="spellEnd"/>
      <w:r>
        <w:t xml:space="preserve"> into business-as-usual support</w:t>
      </w:r>
    </w:p>
    <w:p w14:paraId="03AF0909"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5A8099A9"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6CFA544A" w14:textId="77777777" w:rsidR="00C975AD" w:rsidRDefault="00E73EDB">
            <w:r>
              <w:rPr>
                <w:i/>
                <w:iCs/>
                <w:color w:val="808080"/>
              </w:rPr>
              <w:t>[Tenderer response here]</w:t>
            </w:r>
          </w:p>
        </w:tc>
      </w:tr>
    </w:tbl>
    <w:p w14:paraId="1293CF20" w14:textId="77777777" w:rsidR="00C975AD" w:rsidRDefault="00E73EDB">
      <w:r>
        <w:br w:type="page"/>
      </w:r>
    </w:p>
    <w:p w14:paraId="4B7DB339" w14:textId="77777777" w:rsidR="00C975AD" w:rsidRDefault="00E73EDB">
      <w:pPr>
        <w:pStyle w:val="Heading1"/>
      </w:pPr>
      <w:r>
        <w:lastRenderedPageBreak/>
        <w:t>D. Service, support and SLAs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6"/>
        <w:gridCol w:w="4536"/>
      </w:tblGrid>
      <w:tr w:rsidR="00C975AD" w14:paraId="37ACB926" w14:textId="77777777">
        <w:tc>
          <w:tcPr>
            <w:tcW w:w="4536"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30517F2E" w14:textId="77777777" w:rsidR="00C975AD" w:rsidRDefault="00E73EDB">
            <w:pPr>
              <w:spacing w:before="60" w:after="60"/>
            </w:pPr>
            <w:r>
              <w:rPr>
                <w:b/>
                <w:bCs/>
              </w:rPr>
              <w:t>Weighting: 5% of total score</w:t>
            </w:r>
          </w:p>
        </w:tc>
        <w:tc>
          <w:tcPr>
            <w:tcW w:w="4536"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4188C9A6" w14:textId="77777777" w:rsidR="00C975AD" w:rsidRDefault="00E73EDB">
            <w:pPr>
              <w:spacing w:before="60" w:after="60"/>
            </w:pPr>
            <w:r>
              <w:rPr>
                <w:b/>
                <w:bCs/>
              </w:rPr>
              <w:t>Page limit: 4 pages</w:t>
            </w:r>
          </w:p>
        </w:tc>
      </w:tr>
    </w:tbl>
    <w:p w14:paraId="7847CA75" w14:textId="77777777" w:rsidR="00C975AD" w:rsidRDefault="00C975AD"/>
    <w:p w14:paraId="752EDAAB" w14:textId="77777777" w:rsidR="00C975AD" w:rsidRDefault="00E73EDB">
      <w:pPr>
        <w:spacing w:after="120" w:line="276" w:lineRule="auto"/>
      </w:pPr>
      <w:r>
        <w:rPr>
          <w:color w:val="000000"/>
        </w:rPr>
        <w:t xml:space="preserve">Section D assesses the proposed approach to ongoing service, support and Service Level Agreements following </w:t>
      </w:r>
      <w:proofErr w:type="gramStart"/>
      <w:r>
        <w:rPr>
          <w:color w:val="000000"/>
        </w:rPr>
        <w:t>go-live</w:t>
      </w:r>
      <w:proofErr w:type="gramEnd"/>
      <w:r>
        <w:rPr>
          <w:color w:val="000000"/>
        </w:rPr>
        <w:t>.</w:t>
      </w:r>
    </w:p>
    <w:p w14:paraId="2187CF2E" w14:textId="77777777" w:rsidR="00C975AD" w:rsidRDefault="00E73EDB">
      <w:pPr>
        <w:pBdr>
          <w:left w:val="single" w:sz="18" w:space="0" w:color="C55A11"/>
        </w:pBdr>
        <w:spacing w:before="120" w:after="120"/>
        <w:ind w:left="200"/>
      </w:pPr>
      <w:r>
        <w:rPr>
          <w:b/>
          <w:bCs/>
          <w:color w:val="1F3864"/>
        </w:rPr>
        <w:t xml:space="preserve">Response expectations: </w:t>
      </w:r>
      <w:r>
        <w:t>Tenderers should provide clear, specific and solution-based responses. Generic marketing material, vague claims or references to future capability without supporting explanation may receive lower scores. Evidence-based answers grounded in the proposed solution are expected.</w:t>
      </w:r>
    </w:p>
    <w:p w14:paraId="7223D154" w14:textId="77777777" w:rsidR="00C975AD" w:rsidRDefault="00E73EDB">
      <w:pPr>
        <w:pStyle w:val="Heading2"/>
      </w:pPr>
      <w:r>
        <w:t>D.1 Support model</w:t>
      </w:r>
    </w:p>
    <w:p w14:paraId="63227781" w14:textId="77777777" w:rsidR="00C975AD" w:rsidRDefault="00E73EDB">
      <w:pPr>
        <w:spacing w:before="120" w:after="80"/>
      </w:pPr>
      <w:r>
        <w:rPr>
          <w:b/>
          <w:bCs/>
        </w:rPr>
        <w:t>Response should address:</w:t>
      </w:r>
    </w:p>
    <w:p w14:paraId="3C4F7099" w14:textId="77777777" w:rsidR="00C975AD" w:rsidRDefault="00E73EDB">
      <w:pPr>
        <w:pStyle w:val="ListParagraph"/>
        <w:numPr>
          <w:ilvl w:val="0"/>
          <w:numId w:val="2"/>
        </w:numPr>
        <w:spacing w:after="60" w:line="276" w:lineRule="auto"/>
      </w:pPr>
      <w:r>
        <w:t>support model, including hours of cover, support channels and access for PHECC staff and external users</w:t>
      </w:r>
    </w:p>
    <w:p w14:paraId="4E9F642A" w14:textId="77777777" w:rsidR="00C975AD" w:rsidRDefault="00E73EDB">
      <w:pPr>
        <w:pStyle w:val="ListParagraph"/>
        <w:numPr>
          <w:ilvl w:val="0"/>
          <w:numId w:val="2"/>
        </w:numPr>
        <w:spacing w:after="60" w:line="276" w:lineRule="auto"/>
      </w:pPr>
      <w:r>
        <w:t>incident classification, prioritisation and response approach</w:t>
      </w:r>
    </w:p>
    <w:p w14:paraId="53D27D24" w14:textId="77777777" w:rsidR="00C975AD" w:rsidRDefault="00E73EDB">
      <w:pPr>
        <w:pStyle w:val="ListParagraph"/>
        <w:numPr>
          <w:ilvl w:val="0"/>
          <w:numId w:val="2"/>
        </w:numPr>
        <w:spacing w:after="60" w:line="276" w:lineRule="auto"/>
      </w:pPr>
      <w:r>
        <w:t>supplier team supporting PHECC during business-as-usual</w:t>
      </w:r>
    </w:p>
    <w:p w14:paraId="4D17BEC5" w14:textId="77777777" w:rsidR="00C975AD" w:rsidRDefault="00E73EDB">
      <w:pPr>
        <w:pStyle w:val="ListParagraph"/>
        <w:numPr>
          <w:ilvl w:val="0"/>
          <w:numId w:val="2"/>
        </w:numPr>
        <w:spacing w:after="60" w:line="276" w:lineRule="auto"/>
      </w:pPr>
      <w:r>
        <w:t>approach to release management and change control on a live PHECC platform</w:t>
      </w:r>
    </w:p>
    <w:p w14:paraId="22FE6C9A"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2B6FA909"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15990C0A" w14:textId="77777777" w:rsidR="00C975AD" w:rsidRDefault="00E73EDB">
            <w:r>
              <w:rPr>
                <w:i/>
                <w:iCs/>
                <w:color w:val="808080"/>
              </w:rPr>
              <w:t>[Tenderer response here]</w:t>
            </w:r>
          </w:p>
        </w:tc>
      </w:tr>
    </w:tbl>
    <w:p w14:paraId="75B48A18" w14:textId="77777777" w:rsidR="00C975AD" w:rsidRDefault="00E73EDB">
      <w:r>
        <w:br w:type="page"/>
      </w:r>
    </w:p>
    <w:p w14:paraId="2A22B408" w14:textId="77777777" w:rsidR="00C975AD" w:rsidRDefault="00E73EDB">
      <w:pPr>
        <w:pStyle w:val="Heading2"/>
      </w:pPr>
      <w:r>
        <w:lastRenderedPageBreak/>
        <w:t>D.2 Service Level Agreements</w:t>
      </w:r>
    </w:p>
    <w:p w14:paraId="10614D62" w14:textId="77777777" w:rsidR="00C975AD" w:rsidRDefault="00E73EDB">
      <w:pPr>
        <w:spacing w:before="120" w:after="80"/>
      </w:pPr>
      <w:r>
        <w:rPr>
          <w:b/>
          <w:bCs/>
        </w:rPr>
        <w:t>Response should address:</w:t>
      </w:r>
    </w:p>
    <w:p w14:paraId="7FE25E19" w14:textId="77777777" w:rsidR="00C975AD" w:rsidRDefault="00E73EDB">
      <w:pPr>
        <w:pStyle w:val="ListParagraph"/>
        <w:numPr>
          <w:ilvl w:val="0"/>
          <w:numId w:val="2"/>
        </w:numPr>
        <w:spacing w:after="60" w:line="276" w:lineRule="auto"/>
      </w:pPr>
      <w:r>
        <w:t>proposed Service Level Agreements for service availability, incident response and incident resolution</w:t>
      </w:r>
    </w:p>
    <w:p w14:paraId="2A40D973" w14:textId="77777777" w:rsidR="00C975AD" w:rsidRDefault="00E73EDB">
      <w:pPr>
        <w:pStyle w:val="ListParagraph"/>
        <w:numPr>
          <w:ilvl w:val="0"/>
          <w:numId w:val="2"/>
        </w:numPr>
        <w:spacing w:after="60" w:line="276" w:lineRule="auto"/>
      </w:pPr>
      <w:r>
        <w:t>monthly service availability commitment, with definition of measurement, exclusions and reporting. PHECC's baseline expectation is a minimum monthly service availability of 99.9%, excluding agreed planned maintenance windows. Tenderers may propose higher targets</w:t>
      </w:r>
    </w:p>
    <w:p w14:paraId="14E2C7B4" w14:textId="77777777" w:rsidR="00C975AD" w:rsidRDefault="00E73EDB">
      <w:pPr>
        <w:pStyle w:val="ListParagraph"/>
        <w:numPr>
          <w:ilvl w:val="0"/>
          <w:numId w:val="2"/>
        </w:numPr>
        <w:spacing w:after="60" w:line="276" w:lineRule="auto"/>
      </w:pPr>
      <w:r>
        <w:t>approach to planned maintenance, including scheduling outside core operational hours and advance notification</w:t>
      </w:r>
    </w:p>
    <w:p w14:paraId="5B13FD56" w14:textId="77777777" w:rsidR="00C975AD" w:rsidRDefault="00E73EDB">
      <w:pPr>
        <w:pStyle w:val="ListParagraph"/>
        <w:numPr>
          <w:ilvl w:val="0"/>
          <w:numId w:val="2"/>
        </w:numPr>
        <w:spacing w:after="60" w:line="276" w:lineRule="auto"/>
      </w:pPr>
      <w:r>
        <w:t>approach to service credits, including the credit mechanism, thresholds and reporting against SLAs</w:t>
      </w:r>
    </w:p>
    <w:p w14:paraId="28EAA7E2" w14:textId="77777777" w:rsidR="00C975AD" w:rsidRDefault="00E73EDB">
      <w:pPr>
        <w:pStyle w:val="ListParagraph"/>
        <w:numPr>
          <w:ilvl w:val="0"/>
          <w:numId w:val="2"/>
        </w:numPr>
        <w:spacing w:after="60" w:line="276" w:lineRule="auto"/>
      </w:pPr>
      <w:r>
        <w:t>any exclusions, dependencies, third-party service constraints, force majeure interactions or other limitations applicable to proposed SLA commitments. Exclusions identified at tender stage form part of the agreed SLA position; exclusions not identified may not be relied upon following contract award</w:t>
      </w:r>
    </w:p>
    <w:p w14:paraId="4D374232" w14:textId="77777777" w:rsidR="00C975AD" w:rsidRDefault="00E73EDB">
      <w:pPr>
        <w:pStyle w:val="ListParagraph"/>
        <w:numPr>
          <w:ilvl w:val="0"/>
          <w:numId w:val="2"/>
        </w:numPr>
        <w:spacing w:after="60" w:line="276" w:lineRule="auto"/>
      </w:pPr>
      <w:r>
        <w:t>SLA reporting cadence and content</w:t>
      </w:r>
    </w:p>
    <w:p w14:paraId="5BF361BD"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54EC89B3"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22F966E1" w14:textId="77777777" w:rsidR="00C975AD" w:rsidRDefault="00E73EDB">
            <w:r>
              <w:rPr>
                <w:i/>
                <w:iCs/>
                <w:color w:val="808080"/>
              </w:rPr>
              <w:t>[Tenderer response here]</w:t>
            </w:r>
          </w:p>
        </w:tc>
      </w:tr>
    </w:tbl>
    <w:p w14:paraId="116B6834" w14:textId="77777777" w:rsidR="00C975AD" w:rsidRDefault="00E73EDB">
      <w:r>
        <w:br w:type="page"/>
      </w:r>
    </w:p>
    <w:p w14:paraId="60895400" w14:textId="77777777" w:rsidR="00C975AD" w:rsidRDefault="00E73EDB">
      <w:pPr>
        <w:pStyle w:val="Heading2"/>
      </w:pPr>
      <w:r>
        <w:lastRenderedPageBreak/>
        <w:t>D.3 Maintenance, updates and continuous improvement</w:t>
      </w:r>
    </w:p>
    <w:p w14:paraId="0F687E49" w14:textId="77777777" w:rsidR="00C975AD" w:rsidRDefault="00E73EDB">
      <w:pPr>
        <w:spacing w:before="120" w:after="80"/>
      </w:pPr>
      <w:r>
        <w:rPr>
          <w:b/>
          <w:bCs/>
        </w:rPr>
        <w:t>Response should address:</w:t>
      </w:r>
    </w:p>
    <w:p w14:paraId="36C17AC8" w14:textId="77777777" w:rsidR="00C975AD" w:rsidRDefault="00E73EDB">
      <w:pPr>
        <w:pStyle w:val="ListParagraph"/>
        <w:numPr>
          <w:ilvl w:val="0"/>
          <w:numId w:val="2"/>
        </w:numPr>
        <w:spacing w:after="60" w:line="276" w:lineRule="auto"/>
      </w:pPr>
      <w:r>
        <w:t>approach to product updates, security patches and major releases</w:t>
      </w:r>
    </w:p>
    <w:p w14:paraId="37901057" w14:textId="77777777" w:rsidR="00C975AD" w:rsidRDefault="00E73EDB">
      <w:pPr>
        <w:pStyle w:val="ListParagraph"/>
        <w:numPr>
          <w:ilvl w:val="0"/>
          <w:numId w:val="2"/>
        </w:numPr>
        <w:spacing w:after="60" w:line="276" w:lineRule="auto"/>
      </w:pPr>
      <w:r>
        <w:t>scope of changes included within the recurring fee and what falls outside it</w:t>
      </w:r>
    </w:p>
    <w:p w14:paraId="2CCFB099" w14:textId="77777777" w:rsidR="00C975AD" w:rsidRDefault="00E73EDB">
      <w:pPr>
        <w:pStyle w:val="ListParagraph"/>
        <w:numPr>
          <w:ilvl w:val="0"/>
          <w:numId w:val="2"/>
        </w:numPr>
        <w:spacing w:after="60" w:line="276" w:lineRule="auto"/>
      </w:pPr>
      <w:r>
        <w:t>approach to roadmap and how PHECC's input shapes the product over the contract life</w:t>
      </w:r>
    </w:p>
    <w:p w14:paraId="36B6B300" w14:textId="77777777" w:rsidR="00C975AD" w:rsidRDefault="00E73EDB">
      <w:pPr>
        <w:pStyle w:val="ListParagraph"/>
        <w:numPr>
          <w:ilvl w:val="0"/>
          <w:numId w:val="2"/>
        </w:numPr>
        <w:spacing w:after="60" w:line="276" w:lineRule="auto"/>
      </w:pPr>
      <w:r>
        <w:t>approach to continuous improvement of the service delivered to PHECC</w:t>
      </w:r>
    </w:p>
    <w:p w14:paraId="19FDE38A"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C975AD" w14:paraId="2278B4C0" w14:textId="77777777">
        <w:tc>
          <w:tcPr>
            <w:tcW w:w="9072" w:type="dxa"/>
            <w:tcBorders>
              <w:top w:val="single" w:sz="4" w:space="0" w:color="D9D9D9"/>
              <w:left w:val="single" w:sz="4" w:space="0" w:color="D9D9D9"/>
              <w:bottom w:val="single" w:sz="4" w:space="0" w:color="D9D9D9"/>
              <w:right w:val="single" w:sz="4" w:space="0" w:color="D9D9D9"/>
            </w:tcBorders>
            <w:shd w:val="clear" w:color="auto" w:fill="FAFAFA"/>
            <w:tcMar>
              <w:top w:w="200" w:type="dxa"/>
              <w:left w:w="200" w:type="dxa"/>
              <w:bottom w:w="200" w:type="dxa"/>
              <w:right w:w="200" w:type="dxa"/>
            </w:tcMar>
          </w:tcPr>
          <w:p w14:paraId="3C0EE51F" w14:textId="77777777" w:rsidR="00C975AD" w:rsidRDefault="00E73EDB">
            <w:r>
              <w:rPr>
                <w:i/>
                <w:iCs/>
                <w:color w:val="808080"/>
              </w:rPr>
              <w:t>[Tenderer response here]</w:t>
            </w:r>
          </w:p>
        </w:tc>
      </w:tr>
    </w:tbl>
    <w:p w14:paraId="0BBADF1A" w14:textId="77777777" w:rsidR="00C975AD" w:rsidRDefault="00E73EDB">
      <w:r>
        <w:br w:type="page"/>
      </w:r>
    </w:p>
    <w:p w14:paraId="1B0DA883" w14:textId="77777777" w:rsidR="00C975AD" w:rsidRDefault="00E73EDB">
      <w:pPr>
        <w:pStyle w:val="Heading1"/>
      </w:pPr>
      <w:r>
        <w:lastRenderedPageBreak/>
        <w:t>Annex 1: Submission checklist</w:t>
      </w:r>
    </w:p>
    <w:p w14:paraId="760668AD" w14:textId="77777777" w:rsidR="00C975AD" w:rsidRDefault="00E73EDB">
      <w:pPr>
        <w:spacing w:after="120" w:line="276" w:lineRule="auto"/>
      </w:pPr>
      <w:r>
        <w:rPr>
          <w:color w:val="000000"/>
        </w:rPr>
        <w:t>Tenderers should use this checklist to confirm that all required documents are included in the submission before uploading to eTenders.</w:t>
      </w:r>
    </w:p>
    <w:p w14:paraId="6EEAB2CD" w14:textId="77777777" w:rsidR="00C975AD" w:rsidRDefault="00C975A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97"/>
        <w:gridCol w:w="1361"/>
        <w:gridCol w:w="1814"/>
      </w:tblGrid>
      <w:tr w:rsidR="00C975AD" w14:paraId="27A3D656" w14:textId="77777777">
        <w:trPr>
          <w:tblHeader/>
        </w:trPr>
        <w:tc>
          <w:tcPr>
            <w:tcW w:w="5897"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3CDA495A" w14:textId="77777777" w:rsidR="00C975AD" w:rsidRDefault="00E73EDB">
            <w:pPr>
              <w:spacing w:before="40" w:after="40"/>
            </w:pPr>
            <w:r>
              <w:rPr>
                <w:b/>
                <w:bCs/>
                <w:color w:val="000000"/>
              </w:rPr>
              <w:t>Document</w:t>
            </w:r>
          </w:p>
        </w:tc>
        <w:tc>
          <w:tcPr>
            <w:tcW w:w="1361"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1D3CC44F" w14:textId="77777777" w:rsidR="00C975AD" w:rsidRDefault="00E73EDB">
            <w:pPr>
              <w:spacing w:before="40" w:after="40"/>
            </w:pPr>
            <w:r>
              <w:rPr>
                <w:b/>
                <w:bCs/>
                <w:color w:val="000000"/>
              </w:rPr>
              <w:t>Required</w:t>
            </w:r>
          </w:p>
        </w:tc>
        <w:tc>
          <w:tcPr>
            <w:tcW w:w="1814"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14:paraId="3F43D088" w14:textId="77777777" w:rsidR="00C975AD" w:rsidRDefault="00E73EDB">
            <w:pPr>
              <w:spacing w:before="40" w:after="40"/>
            </w:pPr>
            <w:r>
              <w:rPr>
                <w:b/>
                <w:bCs/>
                <w:color w:val="000000"/>
              </w:rPr>
              <w:t>Submitted (Y/N)</w:t>
            </w:r>
          </w:p>
        </w:tc>
      </w:tr>
      <w:tr w:rsidR="00C975AD" w14:paraId="283018BF" w14:textId="77777777">
        <w:tc>
          <w:tcPr>
            <w:tcW w:w="5897"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3626E6B" w14:textId="77777777" w:rsidR="00C975AD" w:rsidRDefault="00E73EDB">
            <w:pPr>
              <w:spacing w:before="40" w:after="40"/>
            </w:pPr>
            <w:r>
              <w:rPr>
                <w:color w:val="000000"/>
              </w:rPr>
              <w:t>This Response Templates document, fully completed</w:t>
            </w:r>
          </w:p>
        </w:tc>
        <w:tc>
          <w:tcPr>
            <w:tcW w:w="1361"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232DC29" w14:textId="77777777" w:rsidR="00C975AD" w:rsidRDefault="00E73EDB">
            <w:pPr>
              <w:spacing w:before="40" w:after="40"/>
            </w:pPr>
            <w:r>
              <w:rPr>
                <w:color w:val="000000"/>
              </w:rPr>
              <w:t>Yes</w:t>
            </w:r>
          </w:p>
        </w:tc>
        <w:tc>
          <w:tcPr>
            <w:tcW w:w="1814"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434C9D6" w14:textId="77777777" w:rsidR="00C975AD" w:rsidRDefault="00C975AD">
            <w:pPr>
              <w:spacing w:before="40" w:after="40"/>
            </w:pPr>
          </w:p>
        </w:tc>
      </w:tr>
      <w:tr w:rsidR="00C975AD" w14:paraId="63AAC75F" w14:textId="77777777">
        <w:tc>
          <w:tcPr>
            <w:tcW w:w="5897"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832277C" w14:textId="77777777" w:rsidR="00C975AD" w:rsidRDefault="00E73EDB">
            <w:pPr>
              <w:spacing w:before="40" w:after="40"/>
            </w:pPr>
            <w:r>
              <w:rPr>
                <w:color w:val="000000"/>
              </w:rPr>
              <w:t>Compliance Matrix (Excel)</w:t>
            </w:r>
          </w:p>
        </w:tc>
        <w:tc>
          <w:tcPr>
            <w:tcW w:w="1361"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721A08F" w14:textId="77777777" w:rsidR="00C975AD" w:rsidRDefault="00E73EDB">
            <w:pPr>
              <w:spacing w:before="40" w:after="40"/>
            </w:pPr>
            <w:r>
              <w:rPr>
                <w:color w:val="000000"/>
              </w:rPr>
              <w:t>Yes</w:t>
            </w:r>
          </w:p>
        </w:tc>
        <w:tc>
          <w:tcPr>
            <w:tcW w:w="1814"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0193FA2" w14:textId="77777777" w:rsidR="00C975AD" w:rsidRDefault="00C975AD">
            <w:pPr>
              <w:spacing w:before="40" w:after="40"/>
            </w:pPr>
          </w:p>
        </w:tc>
      </w:tr>
      <w:tr w:rsidR="00C975AD" w14:paraId="42589543" w14:textId="77777777">
        <w:tc>
          <w:tcPr>
            <w:tcW w:w="5897"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9AF7715" w14:textId="77777777" w:rsidR="00C975AD" w:rsidRDefault="00E73EDB">
            <w:pPr>
              <w:spacing w:before="40" w:after="40"/>
            </w:pPr>
            <w:r>
              <w:rPr>
                <w:color w:val="000000"/>
              </w:rPr>
              <w:t>Pricing Schedule, including completed Assumptions Register</w:t>
            </w:r>
          </w:p>
        </w:tc>
        <w:tc>
          <w:tcPr>
            <w:tcW w:w="1361"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B783380" w14:textId="77777777" w:rsidR="00C975AD" w:rsidRDefault="00E73EDB">
            <w:pPr>
              <w:spacing w:before="40" w:after="40"/>
            </w:pPr>
            <w:r>
              <w:rPr>
                <w:color w:val="000000"/>
              </w:rPr>
              <w:t>Yes</w:t>
            </w:r>
          </w:p>
        </w:tc>
        <w:tc>
          <w:tcPr>
            <w:tcW w:w="1814"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D5C8B4B" w14:textId="77777777" w:rsidR="00C975AD" w:rsidRDefault="00C975AD">
            <w:pPr>
              <w:spacing w:before="40" w:after="40"/>
            </w:pPr>
          </w:p>
        </w:tc>
      </w:tr>
      <w:tr w:rsidR="00C975AD" w14:paraId="03E06FAE" w14:textId="77777777">
        <w:tc>
          <w:tcPr>
            <w:tcW w:w="5897"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B62FD16" w14:textId="77777777" w:rsidR="00C975AD" w:rsidRDefault="00E73EDB">
            <w:pPr>
              <w:spacing w:before="40" w:after="40"/>
            </w:pPr>
            <w:r>
              <w:rPr>
                <w:color w:val="000000"/>
              </w:rPr>
              <w:t>Proposed Implementation Plan as a standalone attachment (MS Project, PDF Gantt or equivalent)</w:t>
            </w:r>
          </w:p>
        </w:tc>
        <w:tc>
          <w:tcPr>
            <w:tcW w:w="1361"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F941559" w14:textId="77777777" w:rsidR="00C975AD" w:rsidRDefault="00E73EDB">
            <w:pPr>
              <w:spacing w:before="40" w:after="40"/>
            </w:pPr>
            <w:r>
              <w:rPr>
                <w:color w:val="000000"/>
              </w:rPr>
              <w:t>Yes</w:t>
            </w:r>
          </w:p>
        </w:tc>
        <w:tc>
          <w:tcPr>
            <w:tcW w:w="1814"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F03E7CC" w14:textId="77777777" w:rsidR="00C975AD" w:rsidRDefault="00C975AD">
            <w:pPr>
              <w:spacing w:before="40" w:after="40"/>
            </w:pPr>
          </w:p>
        </w:tc>
      </w:tr>
      <w:tr w:rsidR="00C975AD" w14:paraId="3BF9000E" w14:textId="77777777">
        <w:tc>
          <w:tcPr>
            <w:tcW w:w="5897"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4290F58" w14:textId="77777777" w:rsidR="00C975AD" w:rsidRDefault="00E73EDB">
            <w:pPr>
              <w:spacing w:before="40" w:after="40"/>
            </w:pPr>
            <w:r>
              <w:rPr>
                <w:color w:val="000000"/>
              </w:rPr>
              <w:t>Form of Tender, signed</w:t>
            </w:r>
          </w:p>
        </w:tc>
        <w:tc>
          <w:tcPr>
            <w:tcW w:w="1361"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63E9875" w14:textId="77777777" w:rsidR="00C975AD" w:rsidRDefault="00E73EDB">
            <w:pPr>
              <w:spacing w:before="40" w:after="40"/>
            </w:pPr>
            <w:r>
              <w:rPr>
                <w:color w:val="000000"/>
              </w:rPr>
              <w:t>Yes</w:t>
            </w:r>
          </w:p>
        </w:tc>
        <w:tc>
          <w:tcPr>
            <w:tcW w:w="1814"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A6B9326" w14:textId="77777777" w:rsidR="00C975AD" w:rsidRDefault="00C975AD">
            <w:pPr>
              <w:spacing w:before="40" w:after="40"/>
            </w:pPr>
          </w:p>
        </w:tc>
      </w:tr>
      <w:tr w:rsidR="00C975AD" w14:paraId="01C96176" w14:textId="77777777">
        <w:tc>
          <w:tcPr>
            <w:tcW w:w="5897"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A83FE76" w14:textId="77777777" w:rsidR="00C975AD" w:rsidRDefault="00E73EDB">
            <w:pPr>
              <w:spacing w:before="40" w:after="40"/>
            </w:pPr>
            <w:r>
              <w:rPr>
                <w:color w:val="000000"/>
              </w:rPr>
              <w:t>Electronic European Single Procurement Document (</w:t>
            </w:r>
            <w:proofErr w:type="spellStart"/>
            <w:r>
              <w:rPr>
                <w:color w:val="000000"/>
              </w:rPr>
              <w:t>eESPD</w:t>
            </w:r>
            <w:proofErr w:type="spellEnd"/>
            <w:r>
              <w:rPr>
                <w:color w:val="000000"/>
              </w:rPr>
              <w:t>) – completed online via eTenders</w:t>
            </w:r>
          </w:p>
        </w:tc>
        <w:tc>
          <w:tcPr>
            <w:tcW w:w="1361"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4C5EBDB" w14:textId="77777777" w:rsidR="00C975AD" w:rsidRDefault="00E73EDB">
            <w:pPr>
              <w:spacing w:before="40" w:after="40"/>
            </w:pPr>
            <w:r>
              <w:rPr>
                <w:color w:val="000000"/>
              </w:rPr>
              <w:t>Yes</w:t>
            </w:r>
          </w:p>
        </w:tc>
        <w:tc>
          <w:tcPr>
            <w:tcW w:w="1814"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7F5F51F" w14:textId="77777777" w:rsidR="00C975AD" w:rsidRDefault="00C975AD">
            <w:pPr>
              <w:spacing w:before="40" w:after="40"/>
            </w:pPr>
          </w:p>
        </w:tc>
      </w:tr>
      <w:tr w:rsidR="00C975AD" w14:paraId="151ABC4E" w14:textId="77777777">
        <w:tc>
          <w:tcPr>
            <w:tcW w:w="5897"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5AC8C03" w14:textId="77777777" w:rsidR="00C975AD" w:rsidRDefault="00E73EDB">
            <w:pPr>
              <w:spacing w:before="40" w:after="40"/>
            </w:pPr>
            <w:r>
              <w:rPr>
                <w:color w:val="000000"/>
              </w:rPr>
              <w:t>CVs of key personnel named in section C.3</w:t>
            </w:r>
          </w:p>
        </w:tc>
        <w:tc>
          <w:tcPr>
            <w:tcW w:w="1361"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7842602" w14:textId="77777777" w:rsidR="00C975AD" w:rsidRDefault="00E73EDB">
            <w:pPr>
              <w:spacing w:before="40" w:after="40"/>
            </w:pPr>
            <w:r>
              <w:rPr>
                <w:color w:val="000000"/>
              </w:rPr>
              <w:t>Yes</w:t>
            </w:r>
          </w:p>
        </w:tc>
        <w:tc>
          <w:tcPr>
            <w:tcW w:w="1814"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3B3002E" w14:textId="77777777" w:rsidR="00C975AD" w:rsidRDefault="00C975AD">
            <w:pPr>
              <w:spacing w:before="40" w:after="40"/>
            </w:pPr>
          </w:p>
        </w:tc>
      </w:tr>
      <w:tr w:rsidR="00C975AD" w14:paraId="271B5DBE" w14:textId="77777777">
        <w:tc>
          <w:tcPr>
            <w:tcW w:w="5897"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DB6BCC6" w14:textId="77777777" w:rsidR="00C975AD" w:rsidRDefault="00E73EDB">
            <w:pPr>
              <w:spacing w:before="40" w:after="40"/>
            </w:pPr>
            <w:r>
              <w:rPr>
                <w:color w:val="000000"/>
              </w:rPr>
              <w:t>Two case studies of comparable contracts (per section 6 of the RFT)</w:t>
            </w:r>
          </w:p>
        </w:tc>
        <w:tc>
          <w:tcPr>
            <w:tcW w:w="1361"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674D9DD" w14:textId="77777777" w:rsidR="00C975AD" w:rsidRDefault="00E73EDB">
            <w:pPr>
              <w:spacing w:before="40" w:after="40"/>
            </w:pPr>
            <w:r>
              <w:rPr>
                <w:color w:val="000000"/>
              </w:rPr>
              <w:t>Yes</w:t>
            </w:r>
          </w:p>
        </w:tc>
        <w:tc>
          <w:tcPr>
            <w:tcW w:w="1814"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BD6B645" w14:textId="77777777" w:rsidR="00C975AD" w:rsidRDefault="00C975AD">
            <w:pPr>
              <w:spacing w:before="40" w:after="40"/>
            </w:pPr>
          </w:p>
        </w:tc>
      </w:tr>
      <w:tr w:rsidR="00C975AD" w14:paraId="3F11F55E" w14:textId="77777777">
        <w:tc>
          <w:tcPr>
            <w:tcW w:w="5897"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FE8126B" w14:textId="77777777" w:rsidR="00C975AD" w:rsidRDefault="00E73EDB">
            <w:pPr>
              <w:spacing w:before="40" w:after="40"/>
            </w:pPr>
            <w:r>
              <w:rPr>
                <w:color w:val="000000"/>
              </w:rPr>
              <w:t>Insurance certificates or letters of intent (per section 6.3 of the RFT)</w:t>
            </w:r>
          </w:p>
        </w:tc>
        <w:tc>
          <w:tcPr>
            <w:tcW w:w="1361"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5178F40" w14:textId="77777777" w:rsidR="00C975AD" w:rsidRDefault="00E73EDB">
            <w:pPr>
              <w:spacing w:before="40" w:after="40"/>
            </w:pPr>
            <w:r>
              <w:rPr>
                <w:color w:val="000000"/>
              </w:rPr>
              <w:t>Yes</w:t>
            </w:r>
          </w:p>
        </w:tc>
        <w:tc>
          <w:tcPr>
            <w:tcW w:w="1814"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3DF782B" w14:textId="77777777" w:rsidR="00C975AD" w:rsidRDefault="00C975AD">
            <w:pPr>
              <w:spacing w:before="40" w:after="40"/>
            </w:pPr>
          </w:p>
        </w:tc>
      </w:tr>
      <w:tr w:rsidR="00C975AD" w14:paraId="3A5C8D39" w14:textId="77777777">
        <w:tc>
          <w:tcPr>
            <w:tcW w:w="5897"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EFEF8A2" w14:textId="77777777" w:rsidR="00C975AD" w:rsidRDefault="00E73EDB">
            <w:pPr>
              <w:spacing w:before="40" w:after="40"/>
            </w:pPr>
            <w:r>
              <w:rPr>
                <w:color w:val="000000"/>
              </w:rPr>
              <w:t>Information security certifications (per section B.4)</w:t>
            </w:r>
          </w:p>
        </w:tc>
        <w:tc>
          <w:tcPr>
            <w:tcW w:w="1361"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6951E65" w14:textId="77777777" w:rsidR="00C975AD" w:rsidRDefault="00E73EDB">
            <w:pPr>
              <w:spacing w:before="40" w:after="40"/>
            </w:pPr>
            <w:r>
              <w:rPr>
                <w:color w:val="000000"/>
              </w:rPr>
              <w:t>Yes</w:t>
            </w:r>
          </w:p>
        </w:tc>
        <w:tc>
          <w:tcPr>
            <w:tcW w:w="1814"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1BBBD5E" w14:textId="77777777" w:rsidR="00C975AD" w:rsidRDefault="00C975AD">
            <w:pPr>
              <w:spacing w:before="40" w:after="40"/>
            </w:pPr>
          </w:p>
        </w:tc>
      </w:tr>
      <w:tr w:rsidR="00C975AD" w14:paraId="4CF6EB64" w14:textId="77777777">
        <w:tc>
          <w:tcPr>
            <w:tcW w:w="5897"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BA2A7E4" w14:textId="77777777" w:rsidR="00C975AD" w:rsidRDefault="00E73EDB">
            <w:pPr>
              <w:spacing w:before="40" w:after="40"/>
            </w:pPr>
            <w:r>
              <w:rPr>
                <w:color w:val="000000"/>
              </w:rPr>
              <w:t>Audited financial statements for the last three years</w:t>
            </w:r>
          </w:p>
        </w:tc>
        <w:tc>
          <w:tcPr>
            <w:tcW w:w="1361"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A0F83AE" w14:textId="77777777" w:rsidR="00C975AD" w:rsidRDefault="00E73EDB">
            <w:pPr>
              <w:spacing w:before="40" w:after="40"/>
            </w:pPr>
            <w:r>
              <w:rPr>
                <w:color w:val="000000"/>
              </w:rPr>
              <w:t>Yes</w:t>
            </w:r>
          </w:p>
        </w:tc>
        <w:tc>
          <w:tcPr>
            <w:tcW w:w="1814"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03BB0B5" w14:textId="77777777" w:rsidR="00C975AD" w:rsidRDefault="00C975AD">
            <w:pPr>
              <w:spacing w:before="40" w:after="40"/>
            </w:pPr>
          </w:p>
        </w:tc>
      </w:tr>
      <w:tr w:rsidR="00C975AD" w14:paraId="2BF95CA6" w14:textId="77777777">
        <w:tc>
          <w:tcPr>
            <w:tcW w:w="5897"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7B13ACA" w14:textId="77777777" w:rsidR="00C975AD" w:rsidRDefault="00E73EDB">
            <w:pPr>
              <w:spacing w:before="40" w:after="40"/>
            </w:pPr>
            <w:r>
              <w:rPr>
                <w:color w:val="000000"/>
              </w:rPr>
              <w:t>Sub-contractor or consortium member declarations (if applicable)</w:t>
            </w:r>
          </w:p>
        </w:tc>
        <w:tc>
          <w:tcPr>
            <w:tcW w:w="1361"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5291A98" w14:textId="77777777" w:rsidR="00C975AD" w:rsidRDefault="00E73EDB">
            <w:pPr>
              <w:spacing w:before="40" w:after="40"/>
            </w:pPr>
            <w:r>
              <w:rPr>
                <w:color w:val="000000"/>
              </w:rPr>
              <w:t>If applicable</w:t>
            </w:r>
          </w:p>
        </w:tc>
        <w:tc>
          <w:tcPr>
            <w:tcW w:w="1814"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4EE1070" w14:textId="77777777" w:rsidR="00C975AD" w:rsidRDefault="00C975AD">
            <w:pPr>
              <w:spacing w:before="40" w:after="40"/>
            </w:pPr>
          </w:p>
        </w:tc>
      </w:tr>
      <w:tr w:rsidR="00C975AD" w14:paraId="10F9782B" w14:textId="77777777">
        <w:tc>
          <w:tcPr>
            <w:tcW w:w="5897"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8641C7B" w14:textId="77777777" w:rsidR="00C975AD" w:rsidRDefault="00E73EDB">
            <w:pPr>
              <w:spacing w:before="40" w:after="40"/>
            </w:pPr>
            <w:r>
              <w:rPr>
                <w:color w:val="000000"/>
              </w:rPr>
              <w:t>Confidentiality identification of commercially sensitive material</w:t>
            </w:r>
          </w:p>
        </w:tc>
        <w:tc>
          <w:tcPr>
            <w:tcW w:w="1361"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3A55BCC" w14:textId="77777777" w:rsidR="00C975AD" w:rsidRDefault="00E73EDB">
            <w:pPr>
              <w:spacing w:before="40" w:after="40"/>
            </w:pPr>
            <w:r>
              <w:rPr>
                <w:color w:val="000000"/>
              </w:rPr>
              <w:t>If applicable</w:t>
            </w:r>
          </w:p>
        </w:tc>
        <w:tc>
          <w:tcPr>
            <w:tcW w:w="1814"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9BF7508" w14:textId="77777777" w:rsidR="00C975AD" w:rsidRDefault="00C975AD">
            <w:pPr>
              <w:spacing w:before="40" w:after="40"/>
            </w:pPr>
          </w:p>
        </w:tc>
      </w:tr>
    </w:tbl>
    <w:p w14:paraId="4D83CF4E" w14:textId="77777777" w:rsidR="00CC52B7" w:rsidRDefault="00CC52B7"/>
    <w:sectPr w:rsidR="00CC52B7">
      <w:headerReference w:type="default" r:id="rId10"/>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B0FF2" w14:textId="77777777" w:rsidR="00E73EDB" w:rsidRDefault="00E73EDB">
      <w:r>
        <w:separator/>
      </w:r>
    </w:p>
  </w:endnote>
  <w:endnote w:type="continuationSeparator" w:id="0">
    <w:p w14:paraId="0E22D3CB" w14:textId="77777777" w:rsidR="00E73EDB" w:rsidRDefault="00E7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FF75" w14:textId="75059F94" w:rsidR="00C975AD" w:rsidRDefault="00E73EDB">
    <w:pPr>
      <w:jc w:val="center"/>
    </w:pPr>
    <w:r>
      <w:rPr>
        <w:color w:val="808080"/>
        <w:sz w:val="18"/>
        <w:szCs w:val="18"/>
      </w:rPr>
      <w:t xml:space="preserve">PHECC BIS Response </w:t>
    </w:r>
    <w:r w:rsidR="00F96795">
      <w:rPr>
        <w:color w:val="808080"/>
        <w:sz w:val="18"/>
        <w:szCs w:val="18"/>
      </w:rPr>
      <w:t>Templates |</w:t>
    </w:r>
    <w:r>
      <w:rPr>
        <w:color w:val="808080"/>
        <w:sz w:val="18"/>
        <w:szCs w:val="18"/>
      </w:rPr>
      <w:t xml:space="preserve"> </w:t>
    </w:r>
    <w:r w:rsidR="00F96795">
      <w:rPr>
        <w:color w:val="808080"/>
        <w:sz w:val="18"/>
        <w:szCs w:val="18"/>
      </w:rPr>
      <w:tab/>
    </w:r>
    <w:r w:rsidR="00F96795">
      <w:rPr>
        <w:color w:val="808080"/>
        <w:sz w:val="18"/>
        <w:szCs w:val="18"/>
      </w:rPr>
      <w:tab/>
    </w:r>
    <w:r w:rsidR="00F96795">
      <w:rPr>
        <w:color w:val="808080"/>
        <w:sz w:val="18"/>
        <w:szCs w:val="18"/>
      </w:rPr>
      <w:tab/>
    </w:r>
    <w:r w:rsidR="00F96795">
      <w:rPr>
        <w:color w:val="808080"/>
        <w:sz w:val="18"/>
        <w:szCs w:val="18"/>
      </w:rPr>
      <w:tab/>
    </w:r>
    <w:r w:rsidR="00F96795">
      <w:rPr>
        <w:color w:val="808080"/>
        <w:sz w:val="18"/>
        <w:szCs w:val="18"/>
      </w:rPr>
      <w:tab/>
    </w:r>
    <w:r w:rsidR="00F96795">
      <w:rPr>
        <w:color w:val="808080"/>
        <w:sz w:val="18"/>
        <w:szCs w:val="18"/>
      </w:rPr>
      <w:tab/>
    </w:r>
    <w:r w:rsidR="00F96795">
      <w:rPr>
        <w:color w:val="808080"/>
        <w:sz w:val="18"/>
        <w:szCs w:val="18"/>
      </w:rPr>
      <w:tab/>
    </w:r>
    <w:r w:rsidR="00F96795">
      <w:rPr>
        <w:color w:val="808080"/>
        <w:sz w:val="18"/>
        <w:szCs w:val="18"/>
      </w:rPr>
      <w:tab/>
    </w:r>
    <w:r>
      <w:rPr>
        <w:color w:val="808080"/>
        <w:sz w:val="18"/>
        <w:szCs w:val="18"/>
      </w:rPr>
      <w:t xml:space="preserve">Page </w:t>
    </w:r>
    <w:r>
      <w:rPr>
        <w:color w:val="808080"/>
        <w:sz w:val="18"/>
        <w:szCs w:val="18"/>
      </w:rPr>
      <w:fldChar w:fldCharType="begin"/>
    </w:r>
    <w:r>
      <w:rPr>
        <w:color w:val="808080"/>
        <w:sz w:val="18"/>
        <w:szCs w:val="18"/>
      </w:rPr>
      <w:instrText>PAGE</w:instrText>
    </w:r>
    <w:r>
      <w:rPr>
        <w:color w:val="808080"/>
        <w:sz w:val="18"/>
        <w:szCs w:val="18"/>
      </w:rPr>
      <w:fldChar w:fldCharType="separate"/>
    </w:r>
    <w:r w:rsidR="00F96795">
      <w:rPr>
        <w:noProof/>
        <w:color w:val="808080"/>
        <w:sz w:val="18"/>
        <w:szCs w:val="18"/>
      </w:rPr>
      <w:t>1</w:t>
    </w:r>
    <w:r>
      <w:rPr>
        <w:color w:val="808080"/>
        <w:sz w:val="18"/>
        <w:szCs w:val="18"/>
      </w:rPr>
      <w:fldChar w:fldCharType="end"/>
    </w:r>
    <w:r>
      <w:rPr>
        <w:color w:val="808080"/>
        <w:sz w:val="18"/>
        <w:szCs w:val="18"/>
      </w:rPr>
      <w:t xml:space="preserve"> of </w:t>
    </w:r>
    <w:r>
      <w:rPr>
        <w:color w:val="808080"/>
        <w:sz w:val="18"/>
        <w:szCs w:val="18"/>
      </w:rPr>
      <w:fldChar w:fldCharType="begin"/>
    </w:r>
    <w:r>
      <w:rPr>
        <w:color w:val="808080"/>
        <w:sz w:val="18"/>
        <w:szCs w:val="18"/>
      </w:rPr>
      <w:instrText>NUMPAGES</w:instrText>
    </w:r>
    <w:r>
      <w:rPr>
        <w:color w:val="808080"/>
        <w:sz w:val="18"/>
        <w:szCs w:val="18"/>
      </w:rPr>
      <w:fldChar w:fldCharType="separate"/>
    </w:r>
    <w:r w:rsidR="00F96795">
      <w:rPr>
        <w:noProof/>
        <w:color w:val="808080"/>
        <w:sz w:val="18"/>
        <w:szCs w:val="18"/>
      </w:rPr>
      <w:t>2</w:t>
    </w:r>
    <w:r>
      <w:rPr>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FCC4" w14:textId="77777777" w:rsidR="00E73EDB" w:rsidRDefault="00E73EDB">
      <w:r>
        <w:separator/>
      </w:r>
    </w:p>
  </w:footnote>
  <w:footnote w:type="continuationSeparator" w:id="0">
    <w:p w14:paraId="4A615557" w14:textId="77777777" w:rsidR="00E73EDB" w:rsidRDefault="00E73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37CE" w14:textId="77777777" w:rsidR="00C975AD" w:rsidRDefault="00E73EDB">
    <w:pPr>
      <w:jc w:val="right"/>
    </w:pPr>
    <w:r>
      <w:rPr>
        <w:color w:val="808080"/>
        <w:sz w:val="18"/>
        <w:szCs w:val="18"/>
      </w:rPr>
      <w:t>PHECC BIS – Response Templates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5124D"/>
    <w:multiLevelType w:val="hybridMultilevel"/>
    <w:tmpl w:val="8BD27E24"/>
    <w:lvl w:ilvl="0" w:tplc="C608D9EA">
      <w:start w:val="1"/>
      <w:numFmt w:val="bullet"/>
      <w:lvlText w:val="●"/>
      <w:lvlJc w:val="left"/>
      <w:pPr>
        <w:ind w:left="720" w:hanging="360"/>
      </w:pPr>
    </w:lvl>
    <w:lvl w:ilvl="1" w:tplc="9C2E1006">
      <w:start w:val="1"/>
      <w:numFmt w:val="bullet"/>
      <w:lvlText w:val="○"/>
      <w:lvlJc w:val="left"/>
      <w:pPr>
        <w:ind w:left="1440" w:hanging="360"/>
      </w:pPr>
    </w:lvl>
    <w:lvl w:ilvl="2" w:tplc="0728CF72">
      <w:start w:val="1"/>
      <w:numFmt w:val="bullet"/>
      <w:lvlText w:val="■"/>
      <w:lvlJc w:val="left"/>
      <w:pPr>
        <w:ind w:left="2160" w:hanging="360"/>
      </w:pPr>
    </w:lvl>
    <w:lvl w:ilvl="3" w:tplc="C8060140">
      <w:start w:val="1"/>
      <w:numFmt w:val="bullet"/>
      <w:lvlText w:val="●"/>
      <w:lvlJc w:val="left"/>
      <w:pPr>
        <w:ind w:left="2880" w:hanging="360"/>
      </w:pPr>
    </w:lvl>
    <w:lvl w:ilvl="4" w:tplc="3BB86280">
      <w:start w:val="1"/>
      <w:numFmt w:val="bullet"/>
      <w:lvlText w:val="○"/>
      <w:lvlJc w:val="left"/>
      <w:pPr>
        <w:ind w:left="3600" w:hanging="360"/>
      </w:pPr>
    </w:lvl>
    <w:lvl w:ilvl="5" w:tplc="1CC039BC">
      <w:start w:val="1"/>
      <w:numFmt w:val="bullet"/>
      <w:lvlText w:val="■"/>
      <w:lvlJc w:val="left"/>
      <w:pPr>
        <w:ind w:left="4320" w:hanging="360"/>
      </w:pPr>
    </w:lvl>
    <w:lvl w:ilvl="6" w:tplc="2D0A52A4">
      <w:start w:val="1"/>
      <w:numFmt w:val="bullet"/>
      <w:lvlText w:val="●"/>
      <w:lvlJc w:val="left"/>
      <w:pPr>
        <w:ind w:left="5040" w:hanging="360"/>
      </w:pPr>
    </w:lvl>
    <w:lvl w:ilvl="7" w:tplc="E1981FB0">
      <w:start w:val="1"/>
      <w:numFmt w:val="bullet"/>
      <w:lvlText w:val="●"/>
      <w:lvlJc w:val="left"/>
      <w:pPr>
        <w:ind w:left="5760" w:hanging="360"/>
      </w:pPr>
    </w:lvl>
    <w:lvl w:ilvl="8" w:tplc="E5FA5852">
      <w:start w:val="1"/>
      <w:numFmt w:val="bullet"/>
      <w:lvlText w:val="●"/>
      <w:lvlJc w:val="left"/>
      <w:pPr>
        <w:ind w:left="6480" w:hanging="360"/>
      </w:pPr>
    </w:lvl>
  </w:abstractNum>
  <w:abstractNum w:abstractNumId="1" w15:restartNumberingAfterBreak="0">
    <w:nsid w:val="6DFF23FB"/>
    <w:multiLevelType w:val="hybridMultilevel"/>
    <w:tmpl w:val="F6DAC6C4"/>
    <w:lvl w:ilvl="0" w:tplc="0854D9FC">
      <w:start w:val="1"/>
      <w:numFmt w:val="bullet"/>
      <w:lvlText w:val="•"/>
      <w:lvlJc w:val="left"/>
      <w:pPr>
        <w:ind w:left="720" w:hanging="360"/>
      </w:pPr>
    </w:lvl>
    <w:lvl w:ilvl="1" w:tplc="54E4474E">
      <w:start w:val="1"/>
      <w:numFmt w:val="bullet"/>
      <w:lvlText w:val="◦"/>
      <w:lvlJc w:val="left"/>
      <w:pPr>
        <w:ind w:left="1440" w:hanging="360"/>
      </w:pPr>
    </w:lvl>
    <w:lvl w:ilvl="2" w:tplc="F4609334">
      <w:numFmt w:val="decimal"/>
      <w:lvlText w:val=""/>
      <w:lvlJc w:val="left"/>
    </w:lvl>
    <w:lvl w:ilvl="3" w:tplc="9F3E94EE">
      <w:numFmt w:val="decimal"/>
      <w:lvlText w:val=""/>
      <w:lvlJc w:val="left"/>
    </w:lvl>
    <w:lvl w:ilvl="4" w:tplc="1B165BB4">
      <w:numFmt w:val="decimal"/>
      <w:lvlText w:val=""/>
      <w:lvlJc w:val="left"/>
    </w:lvl>
    <w:lvl w:ilvl="5" w:tplc="8EFAA4C8">
      <w:numFmt w:val="decimal"/>
      <w:lvlText w:val=""/>
      <w:lvlJc w:val="left"/>
    </w:lvl>
    <w:lvl w:ilvl="6" w:tplc="F90AAD1A">
      <w:numFmt w:val="decimal"/>
      <w:lvlText w:val=""/>
      <w:lvlJc w:val="left"/>
    </w:lvl>
    <w:lvl w:ilvl="7" w:tplc="2B6063C0">
      <w:numFmt w:val="decimal"/>
      <w:lvlText w:val=""/>
      <w:lvlJc w:val="left"/>
    </w:lvl>
    <w:lvl w:ilvl="8" w:tplc="20582990">
      <w:numFmt w:val="decimal"/>
      <w:lvlText w:val=""/>
      <w:lvlJc w:val="left"/>
    </w:lvl>
  </w:abstractNum>
  <w:num w:numId="1" w16cid:durableId="792400863">
    <w:abstractNumId w:val="0"/>
    <w:lvlOverride w:ilvl="0">
      <w:startOverride w:val="1"/>
    </w:lvlOverride>
  </w:num>
  <w:num w:numId="2" w16cid:durableId="154186547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5AD"/>
    <w:rsid w:val="000B4A8B"/>
    <w:rsid w:val="00362BC6"/>
    <w:rsid w:val="006A1C13"/>
    <w:rsid w:val="00C975AD"/>
    <w:rsid w:val="00CC52B7"/>
    <w:rsid w:val="00E73EDB"/>
    <w:rsid w:val="00F96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4215"/>
  <w15:docId w15:val="{F62A2CED-F38F-4A43-86D0-A0DEAE0E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F3864"/>
      <w:sz w:val="32"/>
      <w:szCs w:val="32"/>
    </w:rPr>
  </w:style>
  <w:style w:type="paragraph" w:styleId="Heading2">
    <w:name w:val="heading 2"/>
    <w:uiPriority w:val="9"/>
    <w:unhideWhenUsed/>
    <w:qFormat/>
    <w:pPr>
      <w:spacing w:before="280" w:after="140"/>
      <w:outlineLvl w:val="1"/>
    </w:pPr>
    <w:rPr>
      <w:b/>
      <w:bCs/>
      <w:color w:val="1F3864"/>
      <w:sz w:val="26"/>
      <w:szCs w:val="26"/>
    </w:rPr>
  </w:style>
  <w:style w:type="paragraph" w:styleId="Heading3">
    <w:name w:val="heading 3"/>
    <w:uiPriority w:val="9"/>
    <w:semiHidden/>
    <w:unhideWhenUsed/>
    <w:qFormat/>
    <w:pPr>
      <w:spacing w:before="220" w:after="120"/>
      <w:outlineLvl w:val="2"/>
    </w:pPr>
    <w:rPr>
      <w:b/>
      <w:bCs/>
      <w:color w:val="000000"/>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96795"/>
    <w:pPr>
      <w:tabs>
        <w:tab w:val="center" w:pos="4513"/>
        <w:tab w:val="right" w:pos="9026"/>
      </w:tabs>
    </w:pPr>
  </w:style>
  <w:style w:type="character" w:customStyle="1" w:styleId="HeaderChar">
    <w:name w:val="Header Char"/>
    <w:basedOn w:val="DefaultParagraphFont"/>
    <w:link w:val="Header"/>
    <w:uiPriority w:val="99"/>
    <w:rsid w:val="00F96795"/>
  </w:style>
  <w:style w:type="paragraph" w:styleId="Footer">
    <w:name w:val="footer"/>
    <w:basedOn w:val="Normal"/>
    <w:link w:val="FooterChar"/>
    <w:uiPriority w:val="99"/>
    <w:unhideWhenUsed/>
    <w:rsid w:val="00F96795"/>
    <w:pPr>
      <w:tabs>
        <w:tab w:val="center" w:pos="4513"/>
        <w:tab w:val="right" w:pos="9026"/>
      </w:tabs>
    </w:pPr>
  </w:style>
  <w:style w:type="character" w:customStyle="1" w:styleId="FooterChar">
    <w:name w:val="Footer Char"/>
    <w:basedOn w:val="DefaultParagraphFont"/>
    <w:link w:val="Footer"/>
    <w:uiPriority w:val="99"/>
    <w:rsid w:val="00F96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924ee4-aa3c-4e17-ad2c-87dba04281c3" xsi:nil="true"/>
    <lcf76f155ced4ddcb4097134ff3c332f xmlns="ab8a34d1-56d8-431d-9417-da04fac792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401B6BD4BB004CBA5BA5B0643F8C31" ma:contentTypeVersion="17" ma:contentTypeDescription="Create a new document." ma:contentTypeScope="" ma:versionID="5bf887b7ba6dd982bb247e42e4860235">
  <xsd:schema xmlns:xsd="http://www.w3.org/2001/XMLSchema" xmlns:xs="http://www.w3.org/2001/XMLSchema" xmlns:p="http://schemas.microsoft.com/office/2006/metadata/properties" xmlns:ns2="ab8a34d1-56d8-431d-9417-da04fac7920c" xmlns:ns3="10924ee4-aa3c-4e17-ad2c-87dba04281c3" targetNamespace="http://schemas.microsoft.com/office/2006/metadata/properties" ma:root="true" ma:fieldsID="80c764fec2d288fad94be9970f64a15c" ns2:_="" ns3:_="">
    <xsd:import namespace="ab8a34d1-56d8-431d-9417-da04fac7920c"/>
    <xsd:import namespace="10924ee4-aa3c-4e17-ad2c-87dba04281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a34d1-56d8-431d-9417-da04fac79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d19728-e22c-437d-b103-c414dca2f3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24ee4-aa3c-4e17-ad2c-87dba04281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94c63ff-46c8-4689-9d1f-39cc57d7a05e}" ma:internalName="TaxCatchAll" ma:showField="CatchAllData" ma:web="10924ee4-aa3c-4e17-ad2c-87dba0428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DCF3B-3DDC-447A-B5CB-7DF451F3070C}">
  <ds:schemaRefs>
    <ds:schemaRef ds:uri="http://schemas.microsoft.com/office/2006/metadata/properties"/>
    <ds:schemaRef ds:uri="http://schemas.microsoft.com/office/infopath/2007/PartnerControls"/>
    <ds:schemaRef ds:uri="10924ee4-aa3c-4e17-ad2c-87dba04281c3"/>
    <ds:schemaRef ds:uri="ab8a34d1-56d8-431d-9417-da04fac7920c"/>
  </ds:schemaRefs>
</ds:datastoreItem>
</file>

<file path=customXml/itemProps2.xml><?xml version="1.0" encoding="utf-8"?>
<ds:datastoreItem xmlns:ds="http://schemas.openxmlformats.org/officeDocument/2006/customXml" ds:itemID="{6B13881A-0F45-4B0B-B358-406F19B7043A}">
  <ds:schemaRefs>
    <ds:schemaRef ds:uri="http://schemas.microsoft.com/sharepoint/v3/contenttype/forms"/>
  </ds:schemaRefs>
</ds:datastoreItem>
</file>

<file path=customXml/itemProps3.xml><?xml version="1.0" encoding="utf-8"?>
<ds:datastoreItem xmlns:ds="http://schemas.openxmlformats.org/officeDocument/2006/customXml" ds:itemID="{C82A8628-6B18-4036-A56B-DCFE3CCB0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a34d1-56d8-431d-9417-da04fac7920c"/>
    <ds:schemaRef ds:uri="10924ee4-aa3c-4e17-ad2c-87dba0428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3751</Words>
  <Characters>21382</Characters>
  <Application>Microsoft Office Word</Application>
  <DocSecurity>0</DocSecurity>
  <Lines>178</Lines>
  <Paragraphs>50</Paragraphs>
  <ScaleCrop>false</ScaleCrop>
  <Company/>
  <LinksUpToDate>false</LinksUpToDate>
  <CharactersWithSpaces>25083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Templates - PHECC BIS RFT</dc:title>
  <dc:creator>PHECC</dc:creator>
  <cp:lastModifiedBy>Dibu Mathew</cp:lastModifiedBy>
  <cp:revision>2</cp:revision>
  <dcterms:created xsi:type="dcterms:W3CDTF">2026-06-05T12:24:00Z</dcterms:created>
  <dcterms:modified xsi:type="dcterms:W3CDTF">2026-06-05T12:24:00Z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0x01010044401B6BD4BB004CBA5BA5B0643F8C31</vt:lpwstr>
  </property>
</Properties>
</file>