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F8DD" w14:textId="77777777" w:rsidR="002750A1" w:rsidRDefault="00FC6014">
      <w:r>
        <w:rPr>
          <w:rFonts w:ascii="Calibri" w:hAnsi="Calibri"/>
          <w:b/>
          <w:color w:val="0A4046"/>
          <w:sz w:val="44"/>
        </w:rPr>
        <w:t>PHECC BIS Procurement</w:t>
      </w:r>
    </w:p>
    <w:p w14:paraId="530DEB1C" w14:textId="77777777" w:rsidR="002750A1" w:rsidRDefault="00FC6014">
      <w:pPr>
        <w:spacing w:after="240"/>
      </w:pPr>
      <w:r>
        <w:rPr>
          <w:rFonts w:ascii="Calibri" w:hAnsi="Calibri"/>
          <w:color w:val="595959"/>
          <w:sz w:val="28"/>
        </w:rPr>
        <w:t>ESPD Guide for Tenderers</w:t>
      </w:r>
    </w:p>
    <w:p w14:paraId="58016D2F" w14:textId="77777777" w:rsidR="002750A1" w:rsidRDefault="00FC6014">
      <w:r>
        <w:rPr>
          <w:rFonts w:ascii="Calibri" w:hAnsi="Calibri"/>
          <w:i/>
          <w:color w:val="595959"/>
        </w:rPr>
        <w:t>Practical guide to completing the electronic European Single Procurement Document (eESPD) for the PHECC Business Information System procurement. Read alongside the RFT section 6 (Selection criteria) and section 7.1 (Exclusion grounds).</w:t>
      </w:r>
    </w:p>
    <w:p w14:paraId="49C68003" w14:textId="77777777" w:rsidR="002750A1" w:rsidRDefault="002750A1"/>
    <w:tbl>
      <w:tblPr>
        <w:tblW w:w="0" w:type="auto"/>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Look w:val="04A0" w:firstRow="1" w:lastRow="0" w:firstColumn="1" w:lastColumn="0" w:noHBand="0" w:noVBand="1"/>
      </w:tblPr>
      <w:tblGrid>
        <w:gridCol w:w="4703"/>
        <w:gridCol w:w="4703"/>
      </w:tblGrid>
      <w:tr w:rsidR="002750A1" w14:paraId="75A346D8" w14:textId="77777777">
        <w:tc>
          <w:tcPr>
            <w:tcW w:w="4703" w:type="dxa"/>
          </w:tcPr>
          <w:p w14:paraId="5F29C80F" w14:textId="77777777" w:rsidR="002750A1" w:rsidRDefault="00FC6014">
            <w:r>
              <w:rPr>
                <w:rFonts w:ascii="Calibri" w:hAnsi="Calibri"/>
                <w:b/>
                <w:sz w:val="20"/>
              </w:rPr>
              <w:t>Document purpose</w:t>
            </w:r>
          </w:p>
        </w:tc>
        <w:tc>
          <w:tcPr>
            <w:tcW w:w="4703" w:type="dxa"/>
          </w:tcPr>
          <w:p w14:paraId="60ECC08A" w14:textId="77777777" w:rsidR="002750A1" w:rsidRDefault="00FC6014">
            <w:r>
              <w:rPr>
                <w:rFonts w:ascii="Calibri" w:hAnsi="Calibri"/>
                <w:sz w:val="20"/>
              </w:rPr>
              <w:t>Guidance to assist tenderers in completing the eESPD for this procurement</w:t>
            </w:r>
          </w:p>
        </w:tc>
      </w:tr>
      <w:tr w:rsidR="002750A1" w14:paraId="7F5D584A" w14:textId="77777777">
        <w:tc>
          <w:tcPr>
            <w:tcW w:w="4703" w:type="dxa"/>
          </w:tcPr>
          <w:p w14:paraId="13E1CF12" w14:textId="77777777" w:rsidR="002750A1" w:rsidRDefault="00FC6014">
            <w:r>
              <w:rPr>
                <w:rFonts w:ascii="Calibri" w:hAnsi="Calibri"/>
                <w:b/>
                <w:sz w:val="20"/>
              </w:rPr>
              <w:t>Companion document</w:t>
            </w:r>
          </w:p>
        </w:tc>
        <w:tc>
          <w:tcPr>
            <w:tcW w:w="4703" w:type="dxa"/>
          </w:tcPr>
          <w:p w14:paraId="58D1B017" w14:textId="77777777" w:rsidR="002750A1" w:rsidRDefault="00FC6014">
            <w:r>
              <w:rPr>
                <w:rFonts w:ascii="Calibri" w:hAnsi="Calibri"/>
                <w:sz w:val="20"/>
              </w:rPr>
              <w:t>PHECC BIS Request for Tender (section 6 selection criteria and section 7.1 exclusion grounds)</w:t>
            </w:r>
          </w:p>
        </w:tc>
      </w:tr>
      <w:tr w:rsidR="002750A1" w14:paraId="7408D47B" w14:textId="77777777">
        <w:tc>
          <w:tcPr>
            <w:tcW w:w="4703" w:type="dxa"/>
          </w:tcPr>
          <w:p w14:paraId="3B110B57" w14:textId="77777777" w:rsidR="002750A1" w:rsidRDefault="00FC6014">
            <w:r>
              <w:rPr>
                <w:rFonts w:ascii="Calibri" w:hAnsi="Calibri"/>
                <w:b/>
                <w:sz w:val="20"/>
              </w:rPr>
              <w:t>Audience</w:t>
            </w:r>
          </w:p>
        </w:tc>
        <w:tc>
          <w:tcPr>
            <w:tcW w:w="4703" w:type="dxa"/>
          </w:tcPr>
          <w:p w14:paraId="17ECD735" w14:textId="77777777" w:rsidR="002750A1" w:rsidRDefault="00FC6014">
            <w:r>
              <w:rPr>
                <w:rFonts w:ascii="Calibri" w:hAnsi="Calibri"/>
                <w:sz w:val="20"/>
              </w:rPr>
              <w:t>Tenderers participating in the PHECC BIS procurement</w:t>
            </w:r>
          </w:p>
        </w:tc>
      </w:tr>
    </w:tbl>
    <w:p w14:paraId="11CC76C9" w14:textId="77777777" w:rsidR="002750A1" w:rsidRDefault="00FC6014">
      <w:pPr>
        <w:spacing w:before="360"/>
      </w:pPr>
      <w:r>
        <w:rPr>
          <w:rFonts w:ascii="Calibri" w:hAnsi="Calibri"/>
          <w:b/>
          <w:color w:val="0A4046"/>
          <w:sz w:val="32"/>
        </w:rPr>
        <w:t>1. What the eESPD is</w:t>
      </w:r>
    </w:p>
    <w:p w14:paraId="6BF5B97C" w14:textId="77777777" w:rsidR="002750A1" w:rsidRDefault="00FC6014">
      <w:pPr>
        <w:spacing w:after="160"/>
      </w:pPr>
      <w:r>
        <w:rPr>
          <w:rFonts w:ascii="Calibri" w:hAnsi="Calibri"/>
        </w:rPr>
        <w:t>The European Single Procurement Document (ESPD) is a structured self-declaration that tenderers complete as evidence of meeting the exclusion grounds and selection criteria for this procurement. Tenderers complete the eESPD electronically through eTenders. The eESPD replaces the need to submit individual certificates and declarations at the tender stage.</w:t>
      </w:r>
    </w:p>
    <w:p w14:paraId="4CD9BA4A" w14:textId="77777777" w:rsidR="002750A1" w:rsidRDefault="00FC6014">
      <w:pPr>
        <w:spacing w:after="160"/>
      </w:pPr>
      <w:r>
        <w:rPr>
          <w:rFonts w:ascii="Calibri" w:hAnsi="Calibri"/>
        </w:rPr>
        <w:t>The successful tenderer must subsequently provide the underlying evidence (certificates, audited accounts, insurance certificates and similar documentation) before contract award. Tenderers should be ready to provide this evidence on request from PHECC.</w:t>
      </w:r>
    </w:p>
    <w:p w14:paraId="57CC869E" w14:textId="77777777" w:rsidR="002750A1" w:rsidRDefault="00FC6014">
      <w:pPr>
        <w:spacing w:before="360"/>
      </w:pPr>
      <w:r>
        <w:rPr>
          <w:rFonts w:ascii="Calibri" w:hAnsi="Calibri"/>
          <w:b/>
          <w:color w:val="0A4046"/>
          <w:sz w:val="32"/>
        </w:rPr>
        <w:t>2. How to access and complete the eESPD</w:t>
      </w:r>
    </w:p>
    <w:p w14:paraId="5C553E27" w14:textId="77777777" w:rsidR="002750A1" w:rsidRDefault="00FC6014">
      <w:pPr>
        <w:spacing w:after="160"/>
      </w:pPr>
      <w:r>
        <w:rPr>
          <w:rFonts w:ascii="Calibri" w:hAnsi="Calibri"/>
        </w:rPr>
        <w:t>The eESPD for this procurement is available within the eTenders workspace. Tenderers log in to eTenders, open the BIS procurement workspace, and access the eESPD module from the procurement documents area. The eESPD is completed in the platform; tenderers do not submit a separate ESPD document.</w:t>
      </w:r>
    </w:p>
    <w:p w14:paraId="4D3E4771" w14:textId="77777777" w:rsidR="002750A1" w:rsidRDefault="00FC6014">
      <w:pPr>
        <w:spacing w:after="160"/>
      </w:pPr>
      <w:r>
        <w:rPr>
          <w:rFonts w:ascii="Calibri" w:hAnsi="Calibri"/>
        </w:rPr>
        <w:t>Tenderers should:</w:t>
      </w:r>
    </w:p>
    <w:p w14:paraId="69479BC1" w14:textId="77777777" w:rsidR="002750A1" w:rsidRDefault="00FC6014">
      <w:pPr>
        <w:pStyle w:val="ListBullet"/>
        <w:spacing w:after="80"/>
        <w:ind w:left="425"/>
      </w:pPr>
      <w:r>
        <w:rPr>
          <w:rFonts w:ascii="Calibri" w:hAnsi="Calibri"/>
        </w:rPr>
        <w:t>Complete every applicable Part of the eESPD. Incomplete eESPDs may result in exclusion.</w:t>
      </w:r>
    </w:p>
    <w:p w14:paraId="7B2F35EB" w14:textId="77777777" w:rsidR="002750A1" w:rsidRDefault="00FC6014">
      <w:pPr>
        <w:pStyle w:val="ListBullet"/>
        <w:spacing w:after="80"/>
        <w:ind w:left="425"/>
      </w:pPr>
      <w:r>
        <w:rPr>
          <w:rFonts w:ascii="Calibri" w:hAnsi="Calibri"/>
        </w:rPr>
        <w:t>Save progress regularly. The eTenders platform retains in-progress drafts within the workspace.</w:t>
      </w:r>
    </w:p>
    <w:p w14:paraId="5D346D68" w14:textId="77777777" w:rsidR="002750A1" w:rsidRDefault="00FC6014">
      <w:pPr>
        <w:pStyle w:val="ListBullet"/>
        <w:spacing w:after="80"/>
        <w:ind w:left="425"/>
      </w:pPr>
      <w:r>
        <w:rPr>
          <w:rFonts w:ascii="Calibri" w:hAnsi="Calibri"/>
        </w:rPr>
        <w:t>Submit the completed eESPD as part of the tender response, by the deadline for receipt of tenders set out in RFT section 4.</w:t>
      </w:r>
    </w:p>
    <w:p w14:paraId="3F56247E" w14:textId="77777777" w:rsidR="002750A1" w:rsidRDefault="00FC6014">
      <w:pPr>
        <w:spacing w:before="360"/>
      </w:pPr>
      <w:r>
        <w:rPr>
          <w:rFonts w:ascii="Calibri" w:hAnsi="Calibri"/>
          <w:b/>
          <w:color w:val="0A4046"/>
          <w:sz w:val="32"/>
        </w:rPr>
        <w:lastRenderedPageBreak/>
        <w:t>3. Which Parts of the eESPD to complete</w:t>
      </w:r>
    </w:p>
    <w:p w14:paraId="66C2DD53" w14:textId="77777777" w:rsidR="002750A1" w:rsidRDefault="00FC6014">
      <w:pPr>
        <w:spacing w:after="160"/>
      </w:pPr>
      <w:r>
        <w:rPr>
          <w:rFonts w:ascii="Calibri" w:hAnsi="Calibri"/>
        </w:rPr>
        <w:t>The eESPD is structured in six Parts. Each Part addresses a specific area of qualification or eligibility. The table below sets out which Parts apply to this procurement and the corresponding RFT section.</w:t>
      </w:r>
    </w:p>
    <w:tbl>
      <w:tblPr>
        <w:tblW w:w="0" w:type="auto"/>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Look w:val="04A0" w:firstRow="1" w:lastRow="0" w:firstColumn="1" w:lastColumn="0" w:noHBand="0" w:noVBand="1"/>
      </w:tblPr>
      <w:tblGrid>
        <w:gridCol w:w="3135"/>
        <w:gridCol w:w="3135"/>
        <w:gridCol w:w="3135"/>
      </w:tblGrid>
      <w:tr w:rsidR="002750A1" w14:paraId="1E01ED67" w14:textId="77777777">
        <w:tc>
          <w:tcPr>
            <w:tcW w:w="3135" w:type="dxa"/>
            <w:shd w:val="clear" w:color="auto" w:fill="E8EEF0"/>
          </w:tcPr>
          <w:p w14:paraId="5CB1940A" w14:textId="77777777" w:rsidR="002750A1" w:rsidRDefault="00FC6014">
            <w:r>
              <w:rPr>
                <w:rFonts w:ascii="Calibri" w:hAnsi="Calibri"/>
                <w:b/>
                <w:sz w:val="20"/>
              </w:rPr>
              <w:t>eESPD Part</w:t>
            </w:r>
          </w:p>
        </w:tc>
        <w:tc>
          <w:tcPr>
            <w:tcW w:w="3135" w:type="dxa"/>
            <w:shd w:val="clear" w:color="auto" w:fill="E8EEF0"/>
          </w:tcPr>
          <w:p w14:paraId="23892A23" w14:textId="77777777" w:rsidR="002750A1" w:rsidRDefault="00FC6014">
            <w:r>
              <w:rPr>
                <w:rFonts w:ascii="Calibri" w:hAnsi="Calibri"/>
                <w:b/>
                <w:sz w:val="20"/>
              </w:rPr>
              <w:t>What it covers</w:t>
            </w:r>
          </w:p>
        </w:tc>
        <w:tc>
          <w:tcPr>
            <w:tcW w:w="3135" w:type="dxa"/>
            <w:shd w:val="clear" w:color="auto" w:fill="E8EEF0"/>
          </w:tcPr>
          <w:p w14:paraId="602246C5" w14:textId="77777777" w:rsidR="002750A1" w:rsidRDefault="00FC6014">
            <w:r>
              <w:rPr>
                <w:rFonts w:ascii="Calibri" w:hAnsi="Calibri"/>
                <w:b/>
                <w:sz w:val="20"/>
              </w:rPr>
              <w:t>Corresponding RFT section</w:t>
            </w:r>
          </w:p>
        </w:tc>
      </w:tr>
      <w:tr w:rsidR="002750A1" w14:paraId="08B9133E" w14:textId="77777777">
        <w:tc>
          <w:tcPr>
            <w:tcW w:w="3135" w:type="dxa"/>
          </w:tcPr>
          <w:p w14:paraId="4AFD493B" w14:textId="77777777" w:rsidR="002750A1" w:rsidRDefault="00FC6014">
            <w:r>
              <w:rPr>
                <w:rFonts w:ascii="Calibri" w:hAnsi="Calibri"/>
                <w:sz w:val="20"/>
              </w:rPr>
              <w:t>Part I — Procurement identification</w:t>
            </w:r>
          </w:p>
        </w:tc>
        <w:tc>
          <w:tcPr>
            <w:tcW w:w="3135" w:type="dxa"/>
          </w:tcPr>
          <w:p w14:paraId="71EF3AD7" w14:textId="77777777" w:rsidR="002750A1" w:rsidRDefault="00FC6014">
            <w:r>
              <w:rPr>
                <w:rFonts w:ascii="Calibri" w:hAnsi="Calibri"/>
                <w:sz w:val="20"/>
              </w:rPr>
              <w:t>Reference details of this procurement. Mostly pre-populated by eTenders.</w:t>
            </w:r>
          </w:p>
        </w:tc>
        <w:tc>
          <w:tcPr>
            <w:tcW w:w="3135" w:type="dxa"/>
          </w:tcPr>
          <w:p w14:paraId="01B14537" w14:textId="77777777" w:rsidR="002750A1" w:rsidRDefault="00FC6014">
            <w:r>
              <w:rPr>
                <w:rFonts w:ascii="Calibri" w:hAnsi="Calibri"/>
                <w:sz w:val="20"/>
              </w:rPr>
              <w:t>Auto-populated; tenderer to confirm</w:t>
            </w:r>
          </w:p>
        </w:tc>
      </w:tr>
      <w:tr w:rsidR="002750A1" w14:paraId="2DDFF11F" w14:textId="77777777">
        <w:tc>
          <w:tcPr>
            <w:tcW w:w="3135" w:type="dxa"/>
          </w:tcPr>
          <w:p w14:paraId="3F23F736" w14:textId="77777777" w:rsidR="002750A1" w:rsidRDefault="00FC6014">
            <w:r>
              <w:rPr>
                <w:rFonts w:ascii="Calibri" w:hAnsi="Calibri"/>
                <w:sz w:val="20"/>
              </w:rPr>
              <w:t>Part II — Information about the economic operator</w:t>
            </w:r>
          </w:p>
        </w:tc>
        <w:tc>
          <w:tcPr>
            <w:tcW w:w="3135" w:type="dxa"/>
          </w:tcPr>
          <w:p w14:paraId="61CF9A3D" w14:textId="77777777" w:rsidR="002750A1" w:rsidRDefault="00FC6014">
            <w:r>
              <w:rPr>
                <w:rFonts w:ascii="Calibri" w:hAnsi="Calibri"/>
                <w:sz w:val="20"/>
              </w:rPr>
              <w:t>Tenderer identification, including consortium or sub-contracting arrangements where relevant.</w:t>
            </w:r>
          </w:p>
        </w:tc>
        <w:tc>
          <w:tcPr>
            <w:tcW w:w="3135" w:type="dxa"/>
          </w:tcPr>
          <w:p w14:paraId="745CF996" w14:textId="77777777" w:rsidR="002750A1" w:rsidRDefault="00FC6014">
            <w:r>
              <w:rPr>
                <w:rFonts w:ascii="Calibri" w:hAnsi="Calibri"/>
                <w:sz w:val="20"/>
              </w:rPr>
              <w:t>RFT section 5.6 (Consortia and sub-contracting)</w:t>
            </w:r>
          </w:p>
        </w:tc>
      </w:tr>
      <w:tr w:rsidR="002750A1" w14:paraId="31605070" w14:textId="77777777">
        <w:tc>
          <w:tcPr>
            <w:tcW w:w="3135" w:type="dxa"/>
          </w:tcPr>
          <w:p w14:paraId="0331EF08" w14:textId="77777777" w:rsidR="002750A1" w:rsidRDefault="00FC6014">
            <w:r>
              <w:rPr>
                <w:rFonts w:ascii="Calibri" w:hAnsi="Calibri"/>
                <w:sz w:val="20"/>
              </w:rPr>
              <w:t>Part III — Exclusion grounds</w:t>
            </w:r>
          </w:p>
        </w:tc>
        <w:tc>
          <w:tcPr>
            <w:tcW w:w="3135" w:type="dxa"/>
          </w:tcPr>
          <w:p w14:paraId="2DABC54C" w14:textId="77777777" w:rsidR="002750A1" w:rsidRDefault="00FC6014">
            <w:r>
              <w:rPr>
                <w:rFonts w:ascii="Calibri" w:hAnsi="Calibri"/>
                <w:sz w:val="20"/>
              </w:rPr>
              <w:t>Self-declaration that the tenderer is not subject to mandatory or applicable discretionary exclusion grounds under Regulation 57 of SI 284 of 2016.</w:t>
            </w:r>
          </w:p>
        </w:tc>
        <w:tc>
          <w:tcPr>
            <w:tcW w:w="3135" w:type="dxa"/>
          </w:tcPr>
          <w:p w14:paraId="31BCC1B7" w14:textId="77777777" w:rsidR="002750A1" w:rsidRDefault="00FC6014">
            <w:r>
              <w:rPr>
                <w:rFonts w:ascii="Calibri" w:hAnsi="Calibri"/>
                <w:sz w:val="20"/>
              </w:rPr>
              <w:t>RFT section 7.1 (Exclusion grounds)</w:t>
            </w:r>
          </w:p>
        </w:tc>
      </w:tr>
      <w:tr w:rsidR="002750A1" w14:paraId="74E761A7" w14:textId="77777777">
        <w:tc>
          <w:tcPr>
            <w:tcW w:w="3135" w:type="dxa"/>
          </w:tcPr>
          <w:p w14:paraId="56FAB30D" w14:textId="77777777" w:rsidR="002750A1" w:rsidRDefault="00FC6014">
            <w:r>
              <w:rPr>
                <w:rFonts w:ascii="Calibri" w:hAnsi="Calibri"/>
                <w:sz w:val="20"/>
              </w:rPr>
              <w:t>Part IV — Selection criteria</w:t>
            </w:r>
          </w:p>
        </w:tc>
        <w:tc>
          <w:tcPr>
            <w:tcW w:w="3135" w:type="dxa"/>
          </w:tcPr>
          <w:p w14:paraId="6AB3D5CF" w14:textId="77777777" w:rsidR="002750A1" w:rsidRDefault="00FC6014">
            <w:r>
              <w:rPr>
                <w:rFonts w:ascii="Calibri" w:hAnsi="Calibri"/>
                <w:sz w:val="20"/>
              </w:rPr>
              <w:t>Self-declaration that the tenderer meets the economic, financial, technical and professional capacity requirements.</w:t>
            </w:r>
          </w:p>
        </w:tc>
        <w:tc>
          <w:tcPr>
            <w:tcW w:w="3135" w:type="dxa"/>
          </w:tcPr>
          <w:p w14:paraId="101E491C" w14:textId="77777777" w:rsidR="002750A1" w:rsidRDefault="00FC6014">
            <w:r>
              <w:rPr>
                <w:rFonts w:ascii="Calibri" w:hAnsi="Calibri"/>
                <w:sz w:val="20"/>
              </w:rPr>
              <w:t>RFT section 6 (Selection criteria)</w:t>
            </w:r>
          </w:p>
        </w:tc>
      </w:tr>
      <w:tr w:rsidR="002750A1" w14:paraId="2615E998" w14:textId="77777777">
        <w:tc>
          <w:tcPr>
            <w:tcW w:w="3135" w:type="dxa"/>
          </w:tcPr>
          <w:p w14:paraId="6B9A437E" w14:textId="77777777" w:rsidR="002750A1" w:rsidRDefault="00FC6014">
            <w:r>
              <w:rPr>
                <w:rFonts w:ascii="Calibri" w:hAnsi="Calibri"/>
                <w:sz w:val="20"/>
              </w:rPr>
              <w:t>Part V — Reduction of the number of qualified candidates</w:t>
            </w:r>
          </w:p>
        </w:tc>
        <w:tc>
          <w:tcPr>
            <w:tcW w:w="3135" w:type="dxa"/>
          </w:tcPr>
          <w:p w14:paraId="181C347C" w14:textId="77777777" w:rsidR="002750A1" w:rsidRDefault="00FC6014">
            <w:r>
              <w:rPr>
                <w:rFonts w:ascii="Calibri" w:hAnsi="Calibri"/>
                <w:sz w:val="20"/>
              </w:rPr>
              <w:t>Not applicable to an open procedure.</w:t>
            </w:r>
          </w:p>
        </w:tc>
        <w:tc>
          <w:tcPr>
            <w:tcW w:w="3135" w:type="dxa"/>
          </w:tcPr>
          <w:p w14:paraId="0D162854" w14:textId="77777777" w:rsidR="002750A1" w:rsidRDefault="00FC6014">
            <w:r>
              <w:rPr>
                <w:rFonts w:ascii="Calibri" w:hAnsi="Calibri"/>
                <w:sz w:val="20"/>
              </w:rPr>
              <w:t>Skip — not applicable</w:t>
            </w:r>
          </w:p>
        </w:tc>
      </w:tr>
      <w:tr w:rsidR="002750A1" w14:paraId="364AF24D" w14:textId="77777777">
        <w:tc>
          <w:tcPr>
            <w:tcW w:w="3135" w:type="dxa"/>
          </w:tcPr>
          <w:p w14:paraId="31AF4635" w14:textId="77777777" w:rsidR="002750A1" w:rsidRDefault="00FC6014">
            <w:r>
              <w:rPr>
                <w:rFonts w:ascii="Calibri" w:hAnsi="Calibri"/>
                <w:sz w:val="20"/>
              </w:rPr>
              <w:t>Part VI — Concluding statements</w:t>
            </w:r>
          </w:p>
        </w:tc>
        <w:tc>
          <w:tcPr>
            <w:tcW w:w="3135" w:type="dxa"/>
          </w:tcPr>
          <w:p w14:paraId="2C253EDD" w14:textId="77777777" w:rsidR="002750A1" w:rsidRDefault="00FC6014">
            <w:r>
              <w:rPr>
                <w:rFonts w:ascii="Calibri" w:hAnsi="Calibri"/>
                <w:sz w:val="20"/>
              </w:rPr>
              <w:t>Final declaration and signature by an authorised representative of the tenderer.</w:t>
            </w:r>
          </w:p>
        </w:tc>
        <w:tc>
          <w:tcPr>
            <w:tcW w:w="3135" w:type="dxa"/>
          </w:tcPr>
          <w:p w14:paraId="2BE9756F" w14:textId="77777777" w:rsidR="002750A1" w:rsidRDefault="00FC6014">
            <w:r>
              <w:rPr>
                <w:rFonts w:ascii="Calibri" w:hAnsi="Calibri"/>
                <w:sz w:val="20"/>
              </w:rPr>
              <w:t>Tenderer to complete</w:t>
            </w:r>
          </w:p>
        </w:tc>
      </w:tr>
    </w:tbl>
    <w:p w14:paraId="743E38AE" w14:textId="77777777" w:rsidR="002750A1" w:rsidRDefault="002750A1"/>
    <w:p w14:paraId="12115AB5" w14:textId="77777777" w:rsidR="002750A1" w:rsidRDefault="00FC6014">
      <w:pPr>
        <w:spacing w:before="360"/>
      </w:pPr>
      <w:r>
        <w:rPr>
          <w:rFonts w:ascii="Calibri" w:hAnsi="Calibri"/>
          <w:b/>
          <w:color w:val="0A4046"/>
          <w:sz w:val="32"/>
        </w:rPr>
        <w:t>4. Guidance on key Parts</w:t>
      </w:r>
    </w:p>
    <w:p w14:paraId="3ED19005" w14:textId="77777777" w:rsidR="002750A1" w:rsidRDefault="00FC6014">
      <w:pPr>
        <w:spacing w:before="240" w:after="120"/>
      </w:pPr>
      <w:r>
        <w:rPr>
          <w:rFonts w:ascii="Calibri" w:hAnsi="Calibri"/>
          <w:b/>
          <w:color w:val="0A4046"/>
          <w:sz w:val="26"/>
        </w:rPr>
        <w:t>4.1 Part III — Exclusion grounds</w:t>
      </w:r>
    </w:p>
    <w:p w14:paraId="088EE77C" w14:textId="77777777" w:rsidR="002750A1" w:rsidRDefault="00FC6014">
      <w:pPr>
        <w:spacing w:after="160"/>
      </w:pPr>
      <w:r>
        <w:rPr>
          <w:rFonts w:ascii="Calibri" w:hAnsi="Calibri"/>
        </w:rPr>
        <w:t>Tenderers self-declare against the exclusion grounds set out in Regulation 57 of SI 284 of 2016. These cover mandatory grounds (criminal convictions, non-payment of taxes and social security) and discretionary grounds (grave professional misconduct, conflict of interest, prior poor performance and similar matters).</w:t>
      </w:r>
    </w:p>
    <w:p w14:paraId="6D534773" w14:textId="77777777" w:rsidR="002750A1" w:rsidRDefault="00FC6014">
      <w:pPr>
        <w:spacing w:after="160"/>
      </w:pPr>
      <w:r>
        <w:rPr>
          <w:rFonts w:ascii="Calibri" w:hAnsi="Calibri"/>
        </w:rPr>
        <w:t>If any exclusion ground applies, tenderers should provide details and, where relevant, evidence of self-cleaning measures taken in accordance with Regulation 57(13) and (14). PHECC will consider the evidence and decide whether the self-cleaning is sufficient.</w:t>
      </w:r>
    </w:p>
    <w:p w14:paraId="2EE90AF4" w14:textId="77777777" w:rsidR="002750A1" w:rsidRDefault="00FC6014">
      <w:pPr>
        <w:spacing w:before="240" w:after="120"/>
      </w:pPr>
      <w:r>
        <w:rPr>
          <w:rFonts w:ascii="Calibri" w:hAnsi="Calibri"/>
          <w:b/>
          <w:color w:val="0A4046"/>
          <w:sz w:val="26"/>
        </w:rPr>
        <w:lastRenderedPageBreak/>
        <w:t>4.2 Part IV — Selection criteria</w:t>
      </w:r>
    </w:p>
    <w:p w14:paraId="3D55F600" w14:textId="77777777" w:rsidR="002750A1" w:rsidRDefault="00FC6014">
      <w:pPr>
        <w:spacing w:after="160"/>
      </w:pPr>
      <w:r>
        <w:rPr>
          <w:rFonts w:ascii="Calibri" w:hAnsi="Calibri"/>
        </w:rPr>
        <w:t>Tenderers self-declare against the selection criteria in RFT section 6:</w:t>
      </w:r>
    </w:p>
    <w:p w14:paraId="25CB4328" w14:textId="26B4CE13" w:rsidR="002750A1" w:rsidRDefault="00FC6014">
      <w:pPr>
        <w:pStyle w:val="ListBullet"/>
        <w:spacing w:after="80"/>
        <w:ind w:left="425"/>
      </w:pPr>
      <w:r>
        <w:rPr>
          <w:rFonts w:ascii="Calibri" w:hAnsi="Calibri"/>
        </w:rPr>
        <w:t xml:space="preserve">Economic and financial standing: minimum average annual turnover of EUR </w:t>
      </w:r>
      <w:r w:rsidR="006763F4">
        <w:rPr>
          <w:rFonts w:ascii="Calibri" w:hAnsi="Calibri"/>
        </w:rPr>
        <w:t>750,000</w:t>
      </w:r>
      <w:r>
        <w:rPr>
          <w:rFonts w:ascii="Calibri" w:hAnsi="Calibri"/>
        </w:rPr>
        <w:t xml:space="preserve"> across the last three completed financial years; required levels of public liability, employers' liability, professional indemnity and cyber liability insurance.</w:t>
      </w:r>
    </w:p>
    <w:p w14:paraId="01DC1141" w14:textId="77777777" w:rsidR="002750A1" w:rsidRDefault="00FC6014">
      <w:pPr>
        <w:pStyle w:val="ListBullet"/>
        <w:spacing w:after="80"/>
        <w:ind w:left="425"/>
      </w:pPr>
      <w:r>
        <w:rPr>
          <w:rFonts w:ascii="Calibri" w:hAnsi="Calibri"/>
        </w:rPr>
        <w:t>Technical and professional ability: two case studies of comparable contracts within the last five years; CVs for the proposed Implementation Lead, Solution Architect and Integration Lead; evidence of ISO 27001 certification or equivalent.</w:t>
      </w:r>
    </w:p>
    <w:p w14:paraId="728E952B" w14:textId="77777777" w:rsidR="002750A1" w:rsidRDefault="00FC6014">
      <w:pPr>
        <w:spacing w:after="160"/>
      </w:pPr>
      <w:r>
        <w:rPr>
          <w:rFonts w:ascii="Calibri" w:hAnsi="Calibri"/>
        </w:rPr>
        <w:t>Tenderers may indicate compliance through the eESPD without uploading the supporting evidence at tender stage. The successful tenderer must provide the underlying evidence before contract award.</w:t>
      </w:r>
    </w:p>
    <w:p w14:paraId="62FD996B" w14:textId="77777777" w:rsidR="002750A1" w:rsidRDefault="00FC6014">
      <w:pPr>
        <w:spacing w:before="360"/>
      </w:pPr>
      <w:r>
        <w:rPr>
          <w:rFonts w:ascii="Calibri" w:hAnsi="Calibri"/>
          <w:b/>
          <w:color w:val="0A4046"/>
          <w:sz w:val="32"/>
        </w:rPr>
        <w:t>5. Common questions</w:t>
      </w:r>
    </w:p>
    <w:p w14:paraId="35F385F3" w14:textId="77777777" w:rsidR="002750A1" w:rsidRDefault="00FC6014">
      <w:pPr>
        <w:spacing w:before="240" w:after="120"/>
      </w:pPr>
      <w:r>
        <w:rPr>
          <w:rFonts w:ascii="Calibri" w:hAnsi="Calibri"/>
          <w:b/>
          <w:color w:val="0A4046"/>
          <w:sz w:val="26"/>
        </w:rPr>
        <w:t>5.1 Can a consortium submit a single eESPD?</w:t>
      </w:r>
    </w:p>
    <w:p w14:paraId="5A667A37" w14:textId="77777777" w:rsidR="002750A1" w:rsidRDefault="00FC6014">
      <w:pPr>
        <w:spacing w:after="160"/>
      </w:pPr>
      <w:r>
        <w:rPr>
          <w:rFonts w:ascii="Calibri" w:hAnsi="Calibri"/>
        </w:rPr>
        <w:t>No. Each economic operator within a consortium completes its own eESPD. The lead consortium member submits the bundle. Sub-contractors on whose capacity the tenderer is relying for selection criteria must also complete an eESPD. See RFT section 5.6.</w:t>
      </w:r>
    </w:p>
    <w:p w14:paraId="286B8000" w14:textId="77777777" w:rsidR="002750A1" w:rsidRDefault="00FC6014">
      <w:pPr>
        <w:spacing w:before="240" w:after="120"/>
      </w:pPr>
      <w:r>
        <w:rPr>
          <w:rFonts w:ascii="Calibri" w:hAnsi="Calibri"/>
          <w:b/>
          <w:color w:val="0A4046"/>
          <w:sz w:val="26"/>
        </w:rPr>
        <w:t>5.2 What if a selection criterion is met by a sub-contractor?</w:t>
      </w:r>
    </w:p>
    <w:p w14:paraId="3F1A48AE" w14:textId="77777777" w:rsidR="002750A1" w:rsidRDefault="00FC6014">
      <w:pPr>
        <w:spacing w:after="160"/>
      </w:pPr>
      <w:r>
        <w:rPr>
          <w:rFonts w:ascii="Calibri" w:hAnsi="Calibri"/>
        </w:rPr>
        <w:t>Where the tenderer relies on a sub-contractor's capacity to meet a selection criterion, the sub-contractor must complete a separate eESPD and the tenderer must demonstrate that the sub-contractor's capacity will be available throughout the contract.</w:t>
      </w:r>
    </w:p>
    <w:p w14:paraId="6E631C64" w14:textId="77777777" w:rsidR="002750A1" w:rsidRDefault="00FC6014">
      <w:pPr>
        <w:spacing w:before="240" w:after="120"/>
      </w:pPr>
      <w:r>
        <w:rPr>
          <w:rFonts w:ascii="Calibri" w:hAnsi="Calibri"/>
          <w:b/>
          <w:color w:val="0A4046"/>
          <w:sz w:val="26"/>
        </w:rPr>
        <w:t>5.3 What if an answer changes between tender submission and award?</w:t>
      </w:r>
    </w:p>
    <w:p w14:paraId="6B4518B8" w14:textId="77777777" w:rsidR="002750A1" w:rsidRDefault="00FC6014">
      <w:pPr>
        <w:spacing w:after="160"/>
      </w:pPr>
      <w:r>
        <w:rPr>
          <w:rFonts w:ascii="Calibri" w:hAnsi="Calibri"/>
        </w:rPr>
        <w:t>Tenderers must notify PHECC if any matter declared in the eESPD changes after submission. This is a continuing obligation until contract award.</w:t>
      </w:r>
    </w:p>
    <w:p w14:paraId="54D2365D" w14:textId="77777777" w:rsidR="002750A1" w:rsidRDefault="00FC6014">
      <w:pPr>
        <w:spacing w:before="240" w:after="120"/>
      </w:pPr>
      <w:r>
        <w:rPr>
          <w:rFonts w:ascii="Calibri" w:hAnsi="Calibri"/>
          <w:b/>
          <w:color w:val="0A4046"/>
          <w:sz w:val="26"/>
        </w:rPr>
        <w:t>5.4 How long does the eESPD response remain valid?</w:t>
      </w:r>
    </w:p>
    <w:p w14:paraId="1F7C80CD" w14:textId="77777777" w:rsidR="002750A1" w:rsidRDefault="00FC6014">
      <w:pPr>
        <w:spacing w:after="160"/>
      </w:pPr>
      <w:r>
        <w:rPr>
          <w:rFonts w:ascii="Calibri" w:hAnsi="Calibri"/>
        </w:rPr>
        <w:t>The eESPD response forms part of the tender and remains valid for the tender validity period set out in RFT section 5.5.</w:t>
      </w:r>
    </w:p>
    <w:p w14:paraId="06660B59" w14:textId="77777777" w:rsidR="002750A1" w:rsidRDefault="00FC6014">
      <w:pPr>
        <w:spacing w:before="360"/>
      </w:pPr>
      <w:r>
        <w:rPr>
          <w:rFonts w:ascii="Calibri" w:hAnsi="Calibri"/>
          <w:b/>
          <w:color w:val="0A4046"/>
          <w:sz w:val="32"/>
        </w:rPr>
        <w:t>6. Where to get help</w:t>
      </w:r>
    </w:p>
    <w:p w14:paraId="13CE04C4" w14:textId="77777777" w:rsidR="002750A1" w:rsidRDefault="00FC6014">
      <w:pPr>
        <w:spacing w:after="160"/>
      </w:pPr>
      <w:r>
        <w:rPr>
          <w:rFonts w:ascii="Calibri" w:hAnsi="Calibri"/>
        </w:rPr>
        <w:t>Tenderers experiencing technical difficulties with the eESPD module on eTenders should contact eTenders Support through the platform's standard support channels.</w:t>
      </w:r>
    </w:p>
    <w:p w14:paraId="619985DA" w14:textId="77777777" w:rsidR="002750A1" w:rsidRDefault="00FC6014">
      <w:pPr>
        <w:spacing w:after="160"/>
      </w:pPr>
      <w:r>
        <w:rPr>
          <w:rFonts w:ascii="Calibri" w:hAnsi="Calibri"/>
        </w:rPr>
        <w:t>Substantive questions about the content of the eESPD, the exclusion grounds or the selection criteria should be raised as clarification questions through the eTenders messaging facility, in accordance with RFT section 5.3.</w:t>
      </w:r>
    </w:p>
    <w:tbl>
      <w:tblPr>
        <w:tblW w:w="0" w:type="auto"/>
        <w:tblLook w:val="04A0" w:firstRow="1" w:lastRow="0" w:firstColumn="1" w:lastColumn="0" w:noHBand="0" w:noVBand="1"/>
      </w:tblPr>
      <w:tblGrid>
        <w:gridCol w:w="9071"/>
      </w:tblGrid>
      <w:tr w:rsidR="002750A1" w14:paraId="34875AC5" w14:textId="77777777">
        <w:tc>
          <w:tcPr>
            <w:tcW w:w="9071" w:type="dxa"/>
            <w:tcBorders>
              <w:top w:val="single" w:sz="4" w:space="0" w:color="F5DEB3"/>
              <w:left w:val="single" w:sz="24" w:space="0" w:color="C55A11"/>
              <w:bottom w:val="single" w:sz="4" w:space="0" w:color="F5DEB3"/>
              <w:right w:val="single" w:sz="4" w:space="0" w:color="F5DEB3"/>
            </w:tcBorders>
            <w:shd w:val="clear" w:color="auto" w:fill="FFF4E0"/>
          </w:tcPr>
          <w:p w14:paraId="59B0F44E" w14:textId="77777777" w:rsidR="002750A1" w:rsidRDefault="00FC6014">
            <w:r>
              <w:rPr>
                <w:rFonts w:ascii="Calibri" w:hAnsi="Calibri"/>
                <w:b/>
                <w:color w:val="C55A11"/>
              </w:rPr>
              <w:lastRenderedPageBreak/>
              <w:t>Important</w:t>
            </w:r>
          </w:p>
          <w:p w14:paraId="749934B1" w14:textId="77777777" w:rsidR="002750A1" w:rsidRDefault="00FC6014">
            <w:r>
              <w:rPr>
                <w:rFonts w:ascii="Calibri" w:hAnsi="Calibri"/>
              </w:rPr>
              <w:t>All communications with PHECC about this procurement must go through the eTenders messaging facility. Communications outside that channel are not permitted during the live procurement period.</w:t>
            </w:r>
          </w:p>
        </w:tc>
      </w:tr>
    </w:tbl>
    <w:p w14:paraId="47B203C5" w14:textId="77777777" w:rsidR="002750A1" w:rsidRDefault="002750A1"/>
    <w:sectPr w:rsidR="002750A1"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8919069">
    <w:abstractNumId w:val="8"/>
  </w:num>
  <w:num w:numId="2" w16cid:durableId="945238702">
    <w:abstractNumId w:val="6"/>
  </w:num>
  <w:num w:numId="3" w16cid:durableId="578634465">
    <w:abstractNumId w:val="5"/>
  </w:num>
  <w:num w:numId="4" w16cid:durableId="2112819059">
    <w:abstractNumId w:val="4"/>
  </w:num>
  <w:num w:numId="5" w16cid:durableId="1249190266">
    <w:abstractNumId w:val="7"/>
  </w:num>
  <w:num w:numId="6" w16cid:durableId="944189011">
    <w:abstractNumId w:val="3"/>
  </w:num>
  <w:num w:numId="7" w16cid:durableId="515193534">
    <w:abstractNumId w:val="2"/>
  </w:num>
  <w:num w:numId="8" w16cid:durableId="753353389">
    <w:abstractNumId w:val="1"/>
  </w:num>
  <w:num w:numId="9" w16cid:durableId="129282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50A1"/>
    <w:rsid w:val="0029639D"/>
    <w:rsid w:val="00326F90"/>
    <w:rsid w:val="0048443A"/>
    <w:rsid w:val="004B4C51"/>
    <w:rsid w:val="006763F4"/>
    <w:rsid w:val="00873AEF"/>
    <w:rsid w:val="00AA1D8D"/>
    <w:rsid w:val="00B47730"/>
    <w:rsid w:val="00CB0664"/>
    <w:rsid w:val="00FC60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AF33034-0E4B-4023-B8EF-8AB85DE4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924ee4-aa3c-4e17-ad2c-87dba04281c3" xsi:nil="true"/>
    <lcf76f155ced4ddcb4097134ff3c332f xmlns="ab8a34d1-56d8-431d-9417-da04fac7920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401B6BD4BB004CBA5BA5B0643F8C31" ma:contentTypeVersion="17" ma:contentTypeDescription="Create a new document." ma:contentTypeScope="" ma:versionID="5bf887b7ba6dd982bb247e42e4860235">
  <xsd:schema xmlns:xsd="http://www.w3.org/2001/XMLSchema" xmlns:xs="http://www.w3.org/2001/XMLSchema" xmlns:p="http://schemas.microsoft.com/office/2006/metadata/properties" xmlns:ns2="ab8a34d1-56d8-431d-9417-da04fac7920c" xmlns:ns3="10924ee4-aa3c-4e17-ad2c-87dba04281c3" targetNamespace="http://schemas.microsoft.com/office/2006/metadata/properties" ma:root="true" ma:fieldsID="80c764fec2d288fad94be9970f64a15c" ns2:_="" ns3:_="">
    <xsd:import namespace="ab8a34d1-56d8-431d-9417-da04fac7920c"/>
    <xsd:import namespace="10924ee4-aa3c-4e17-ad2c-87dba04281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a34d1-56d8-431d-9417-da04fac79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19728-e22c-437d-b103-c414dca2f3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24ee4-aa3c-4e17-ad2c-87dba04281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c63ff-46c8-4689-9d1f-39cc57d7a05e}" ma:internalName="TaxCatchAll" ma:showField="CatchAllData" ma:web="10924ee4-aa3c-4e17-ad2c-87dba0428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2BEF0-4226-48FF-808A-6FC5003E4544}">
  <ds:schemaRefs>
    <ds:schemaRef ds:uri="http://schemas.microsoft.com/office/2006/metadata/properties"/>
    <ds:schemaRef ds:uri="http://schemas.microsoft.com/office/infopath/2007/PartnerControls"/>
    <ds:schemaRef ds:uri="10924ee4-aa3c-4e17-ad2c-87dba04281c3"/>
    <ds:schemaRef ds:uri="ab8a34d1-56d8-431d-9417-da04fac7920c"/>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5CB2ED1-FD39-43DB-A715-0747F3CB9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a34d1-56d8-431d-9417-da04fac7920c"/>
    <ds:schemaRef ds:uri="10924ee4-aa3c-4e17-ad2c-87dba0428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D9EA7-845B-4499-BFF7-BDC3CA1B4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Dibu Mathew</cp:lastModifiedBy>
  <cp:revision>2</cp:revision>
  <dcterms:created xsi:type="dcterms:W3CDTF">2026-06-05T12:22:00Z</dcterms:created>
  <dcterms:modified xsi:type="dcterms:W3CDTF">2026-06-05T12:22:00Z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0x01010044401B6BD4BB004CBA5BA5B0643F8C31</vt:lpwstr>
  </property>
  <property fmtid="{D5CDD505-2E9C-101B-9397-08002B2CF9AE}" pid="3" name="MediaServiceImageTags">
    <vt:lpwstr/>
  </property>
</Properties>
</file>