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0E832643"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03T00:00:00Z">
            <w:dateFormat w:val="dd/MM/yyyy"/>
            <w:lid w:val="en-IE"/>
            <w:storeMappedDataAs w:val="dateTime"/>
            <w:calendar w:val="gregorian"/>
          </w:date>
        </w:sdtPr>
        <w:sdtEndPr/>
        <w:sdtContent>
          <w:r w:rsidR="00AC51D7">
            <w:rPr>
              <w:rFonts w:ascii="Calibri" w:hAnsi="Calibri"/>
              <w:sz w:val="40"/>
              <w:szCs w:val="40"/>
              <w:highlight w:val="lightGray"/>
              <w:lang w:val="en-IE"/>
            </w:rPr>
            <w:t>03/06/2026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877812">
            <w:rPr>
              <w:rFonts w:ascii="Calibri" w:hAnsi="Calibri"/>
              <w:sz w:val="40"/>
              <w:szCs w:val="40"/>
            </w:rPr>
            <w:t xml:space="preserve">ICT Network &amp; Wireless Infrastructure Equipment, </w:t>
          </w:r>
          <w:proofErr w:type="spellStart"/>
          <w:r w:rsidR="00877812">
            <w:rPr>
              <w:rFonts w:ascii="Calibri" w:hAnsi="Calibri"/>
              <w:sz w:val="40"/>
              <w:szCs w:val="40"/>
            </w:rPr>
            <w:t>Licences</w:t>
          </w:r>
          <w:proofErr w:type="spellEnd"/>
          <w:r w:rsidR="00877812">
            <w:rPr>
              <w:rFonts w:ascii="Calibri" w:hAnsi="Calibri"/>
              <w:sz w:val="40"/>
              <w:szCs w:val="40"/>
            </w:rPr>
            <w:t>, and associated support Services.</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2D629218"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08T14:00:00Z">
            <w:dateFormat w:val="dd/MM/yyyy HH:mm"/>
            <w:lid w:val="en-IE"/>
            <w:storeMappedDataAs w:val="dateTime"/>
            <w:calendar w:val="gregorian"/>
          </w:date>
        </w:sdtPr>
        <w:sdtEndPr/>
        <w:sdtContent>
          <w:r w:rsidR="005004ED">
            <w:rPr>
              <w:rFonts w:ascii="Calibri" w:hAnsi="Calibri"/>
              <w:sz w:val="40"/>
              <w:szCs w:val="40"/>
              <w:highlight w:val="lightGray"/>
              <w:lang w:val="en-IE"/>
            </w:rPr>
            <w:t>0</w:t>
          </w:r>
          <w:r w:rsidR="00A1045A">
            <w:rPr>
              <w:rFonts w:ascii="Calibri" w:hAnsi="Calibri"/>
              <w:sz w:val="40"/>
              <w:szCs w:val="40"/>
              <w:highlight w:val="lightGray"/>
              <w:lang w:val="en-IE"/>
            </w:rPr>
            <w:t>8</w:t>
          </w:r>
          <w:r w:rsidR="005004ED">
            <w:rPr>
              <w:rFonts w:ascii="Calibri" w:hAnsi="Calibri"/>
              <w:sz w:val="40"/>
              <w:szCs w:val="40"/>
              <w:highlight w:val="lightGray"/>
              <w:lang w:val="en-IE"/>
            </w:rPr>
            <w:t>/07/2026</w:t>
          </w:r>
          <w:r w:rsidR="00FE549C">
            <w:rPr>
              <w:rFonts w:ascii="Calibri" w:hAnsi="Calibri"/>
              <w:sz w:val="40"/>
              <w:szCs w:val="40"/>
              <w:highlight w:val="lightGray"/>
              <w:lang w:val="en-IE"/>
            </w:rPr>
            <w:t xml:space="preserve"> </w:t>
          </w:r>
          <w:r w:rsidR="005004ED">
            <w:rPr>
              <w:rFonts w:ascii="Calibri" w:hAnsi="Calibri"/>
              <w:sz w:val="40"/>
              <w:szCs w:val="40"/>
              <w:highlight w:val="lightGray"/>
              <w:lang w:val="en-IE"/>
            </w:rPr>
            <w:t>14:00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6D314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05E80954" w:rsidR="003C0FB1" w:rsidRDefault="006D3140"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F64BE8">
                  <w:rPr>
                    <w:highlight w:val="lightGray"/>
                  </w:rPr>
                  <w:t xml:space="preserve"> </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3083A07F"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ED6C9F">
              <w:t xml:space="preserve">Provision of </w:t>
            </w:r>
            <w:r w:rsidR="00B4274B">
              <w:t xml:space="preserve">a secure, </w:t>
            </w:r>
            <w:r w:rsidR="00BD4551" w:rsidRPr="00BD4551">
              <w:t>resilient</w:t>
            </w:r>
            <w:r w:rsidR="00B4274B">
              <w:t>, and scalable enterprise</w:t>
            </w:r>
            <w:r w:rsidR="00B45295">
              <w:t xml:space="preserve"> and wireless inf</w:t>
            </w:r>
            <w:r w:rsidR="00BD4551">
              <w:t>ras</w:t>
            </w:r>
            <w:r w:rsidR="00B45295">
              <w:t>tructure, including new HQ deployment, regional upgrades, and ongoing support, to enable HS</w:t>
            </w:r>
            <w:r w:rsidR="006404C2">
              <w:t>A</w:t>
            </w:r>
            <w:r w:rsidR="00B45295">
              <w:t xml:space="preserve">'s </w:t>
            </w:r>
            <w:r w:rsidR="00B82AE7">
              <w:t>cloud-first operations and future growth</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4B25EBA7"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2116B7">
              <w:rPr>
                <w:i/>
                <w:iCs/>
                <w:color w:val="FF0000"/>
              </w:rPr>
              <w:t>Not Used</w:t>
            </w:r>
            <w:r>
              <w:rPr>
                <w:i/>
                <w:iCs/>
                <w:color w:val="FF0000"/>
              </w:rPr>
              <w:fldChar w:fldCharType="end"/>
            </w:r>
            <w:bookmarkEnd w:id="2"/>
          </w:p>
          <w:p w14:paraId="44A17398" w14:textId="48F92792"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8A0BB8">
              <w:t> </w:t>
            </w:r>
            <w:r>
              <w:fldChar w:fldCharType="end"/>
            </w:r>
            <w:bookmarkEnd w:id="3"/>
            <w:r>
              <w:t xml:space="preserve"> </w:t>
            </w:r>
            <w:r w:rsidRPr="00E13A0D">
              <w:t>lots (each a “Lot”) as described below.  Each Lot will result in a separate contract.</w:t>
            </w:r>
          </w:p>
          <w:p w14:paraId="00DC7985" w14:textId="55094E86"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2116B7">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16884870"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06A91">
              <w:rPr>
                <w:b/>
              </w:rPr>
              <w:t>4</w:t>
            </w:r>
            <w:r w:rsidR="00853F47">
              <w:rPr>
                <w:b/>
              </w:rPr>
              <w:t xml:space="preserve"> </w:t>
            </w:r>
            <w:r w:rsidR="001424C2">
              <w:rPr>
                <w:noProof/>
              </w:rPr>
              <w:t>year</w:t>
            </w:r>
            <w:r w:rsidR="00853F47">
              <w:rPr>
                <w:noProof/>
              </w:rPr>
              <w:t>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349A8190"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CC28D7">
              <w:rPr>
                <w:i/>
                <w:iCs/>
                <w:color w:val="FF0000"/>
              </w:rPr>
              <w:t> </w:t>
            </w:r>
            <w:r w:rsidR="00CC28D7">
              <w:rPr>
                <w:i/>
                <w:iCs/>
                <w:color w:val="FF0000"/>
              </w:rPr>
              <w:t> </w:t>
            </w:r>
            <w:r w:rsidR="00CC28D7">
              <w:rPr>
                <w:i/>
                <w:iCs/>
                <w:color w:val="FF0000"/>
              </w:rPr>
              <w:t> </w:t>
            </w:r>
            <w:r w:rsidR="00CC28D7">
              <w:rPr>
                <w:i/>
                <w:iCs/>
                <w:color w:val="FF0000"/>
              </w:rPr>
              <w:t> </w:t>
            </w:r>
            <w:r w:rsidR="00CC28D7">
              <w:rPr>
                <w:i/>
                <w:iCs/>
                <w:color w:val="FF0000"/>
              </w:rPr>
              <w:t> </w:t>
            </w:r>
            <w:r w:rsidRPr="003650CE">
              <w:rPr>
                <w:i/>
                <w:iCs/>
                <w:color w:val="FF0000"/>
              </w:rPr>
              <w:fldChar w:fldCharType="end"/>
            </w:r>
            <w:bookmarkEnd w:id="5"/>
          </w:p>
          <w:p w14:paraId="295B2DAB" w14:textId="7FCFE2E5"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385B6E">
              <w:rPr>
                <w:highlight w:val="lightGray"/>
              </w:rPr>
              <w:t>1 year</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385B6E">
              <w:rPr>
                <w:highlight w:val="lightGray"/>
              </w:rPr>
              <w:t>2</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74AB6911"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7E0535">
              <w:rPr>
                <w:i/>
                <w:color w:val="FF0000"/>
                <w:highlight w:val="lightGray"/>
              </w:rPr>
              <w:t> </w:t>
            </w:r>
            <w:r w:rsidR="007E0535">
              <w:rPr>
                <w:i/>
                <w:color w:val="FF0000"/>
                <w:highlight w:val="lightGray"/>
              </w:rPr>
              <w:t> </w:t>
            </w:r>
            <w:r w:rsidR="007E0535">
              <w:rPr>
                <w:i/>
                <w:color w:val="FF0000"/>
                <w:highlight w:val="lightGray"/>
              </w:rPr>
              <w:t> </w:t>
            </w:r>
            <w:r w:rsidR="007E0535">
              <w:rPr>
                <w:i/>
                <w:color w:val="FF0000"/>
                <w:highlight w:val="lightGray"/>
              </w:rPr>
              <w:t> </w:t>
            </w:r>
            <w:r w:rsidR="007E0535">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2F5A99">
              <w:rPr>
                <w:noProof/>
                <w:szCs w:val="22"/>
              </w:rPr>
              <w:t>€</w:t>
            </w:r>
            <w:r w:rsidR="00AC51D7">
              <w:rPr>
                <w:noProof/>
                <w:szCs w:val="22"/>
              </w:rPr>
              <w:t>8</w:t>
            </w:r>
            <w:r w:rsidR="002F5A99">
              <w:rPr>
                <w:noProof/>
                <w:szCs w:val="22"/>
              </w:rPr>
              <w:t>00,000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0CD25905"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8A0BB8">
              <w:rPr>
                <w:i/>
                <w:color w:val="FF0000"/>
              </w:rPr>
              <w:t> </w:t>
            </w:r>
            <w:r w:rsidR="008A0BB8">
              <w:rPr>
                <w:i/>
                <w:color w:val="FF0000"/>
              </w:rPr>
              <w:t> </w:t>
            </w:r>
            <w:r w:rsidR="008A0BB8">
              <w:rPr>
                <w:i/>
                <w:color w:val="FF0000"/>
              </w:rPr>
              <w:t> </w:t>
            </w:r>
            <w:r w:rsidR="008A0BB8">
              <w:rPr>
                <w:i/>
                <w:color w:val="FF0000"/>
              </w:rPr>
              <w:t> </w:t>
            </w:r>
            <w:r w:rsidR="008A0BB8">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8A0BB8">
              <w:rPr>
                <w:highlight w:val="lightGray"/>
              </w:rPr>
              <w:t> </w:t>
            </w:r>
            <w:r w:rsidR="008A0BB8">
              <w:rPr>
                <w:highlight w:val="lightGray"/>
              </w:rPr>
              <w:t> </w:t>
            </w:r>
            <w:r w:rsidR="008A0BB8">
              <w:rPr>
                <w:highlight w:val="lightGray"/>
              </w:rPr>
              <w:t> </w:t>
            </w:r>
            <w:r w:rsidR="008A0BB8">
              <w:rPr>
                <w:highlight w:val="lightGray"/>
              </w:rPr>
              <w:t> </w:t>
            </w:r>
            <w:r w:rsidR="008A0BB8">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4A5C8E1B" w:rsidR="007B7D0E" w:rsidRPr="003D46FB" w:rsidRDefault="007B7D0E" w:rsidP="007B7D0E">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r w:rsidRPr="00A76E64">
                      <w:rPr>
                        <w:highlight w:val="lightGray"/>
                      </w:rPr>
                      <w:t xml:space="preserve">In order to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w:t>
                    </w:r>
                    <w:proofErr w:type="spellStart"/>
                    <w:r w:rsidRPr="00A76E64">
                      <w:rPr>
                        <w:highlight w:val="lightGray"/>
                      </w:rPr>
                      <w:t>eTenders</w:t>
                    </w:r>
                    <w:proofErr w:type="spellEnd"/>
                    <w:r w:rsidRPr="00A76E64">
                      <w:rPr>
                        <w:highlight w:val="lightGray"/>
                      </w:rPr>
                      <w:t xml:space="preserve">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1168D322" w14:textId="40A08E6F" w:rsidR="00977CC4" w:rsidRPr="007B7D0E" w:rsidRDefault="006D3140"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711EAFBA"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010494">
              <w:rPr>
                <w:noProof/>
              </w:rPr>
              <w:t>14</w:t>
            </w:r>
            <w:r w:rsidR="0004651B">
              <w:rPr>
                <w:noProof/>
              </w:rPr>
              <w:t>.00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A1045A">
              <w:t>8</w:t>
            </w:r>
            <w:r w:rsidR="00A1045A" w:rsidRPr="00A1045A">
              <w:rPr>
                <w:vertAlign w:val="superscript"/>
              </w:rPr>
              <w:t>th</w:t>
            </w:r>
            <w:r w:rsidR="00A1045A">
              <w:t xml:space="preserve"> </w:t>
            </w:r>
            <w:r w:rsidR="0004651B">
              <w:rPr>
                <w:noProof/>
              </w:rPr>
              <w:t>Ju</w:t>
            </w:r>
            <w:r w:rsidR="00010494">
              <w:rPr>
                <w:noProof/>
              </w:rPr>
              <w:t>ly</w:t>
            </w:r>
            <w:r w:rsidR="0004651B">
              <w:rPr>
                <w:noProof/>
              </w:rPr>
              <w:t xml:space="preserve"> 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7C267D68"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sidR="00CC28D7">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0D9D5051"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CC28D7">
              <w:t> </w:t>
            </w:r>
            <w:r w:rsidR="00CC28D7">
              <w:t> </w:t>
            </w:r>
            <w:r w:rsidR="00CC28D7">
              <w:t> </w:t>
            </w:r>
            <w:r w:rsidR="00CC28D7">
              <w:t> </w:t>
            </w:r>
            <w:r w:rsidR="00CC28D7">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CC28D7">
              <w:rPr>
                <w:i/>
                <w:iCs/>
                <w:color w:val="FF0000"/>
              </w:rPr>
              <w:t> </w:t>
            </w:r>
            <w:r w:rsidR="00CC28D7">
              <w:rPr>
                <w:i/>
                <w:iCs/>
                <w:color w:val="FF0000"/>
              </w:rPr>
              <w:t> </w:t>
            </w:r>
            <w:r w:rsidR="00CC28D7">
              <w:rPr>
                <w:i/>
                <w:iCs/>
                <w:color w:val="FF0000"/>
              </w:rPr>
              <w:t> </w:t>
            </w:r>
            <w:r w:rsidR="00CC28D7">
              <w:rPr>
                <w:i/>
                <w:iCs/>
                <w:color w:val="FF0000"/>
              </w:rPr>
              <w:t> </w:t>
            </w:r>
            <w:r w:rsidR="00CC28D7">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654A759D"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AE7E8B">
              <w:rPr>
                <w:noProof/>
              </w:rPr>
              <w:t>the Microsoft Office suite of software or 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1BD96A08"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773F8B">
              <w:rPr>
                <w:noProof/>
              </w:rPr>
              <w:t>1</w:t>
            </w:r>
            <w:r w:rsidR="00040635">
              <w:rPr>
                <w:noProof/>
              </w:rPr>
              <w:t>6</w:t>
            </w:r>
            <w:r w:rsidR="00773F8B" w:rsidRPr="00773F8B">
              <w:rPr>
                <w:noProof/>
                <w:vertAlign w:val="superscript"/>
              </w:rPr>
              <w:t>th</w:t>
            </w:r>
            <w:r w:rsidR="00773F8B">
              <w:rPr>
                <w:noProof/>
              </w:rPr>
              <w:t xml:space="preserve"> June 2026</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773F8B">
              <w:rPr>
                <w:noProof/>
              </w:rPr>
              <w:t>12:00</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0FCC5225"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2B43D2">
              <w:t>6 months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2B2493EC"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 xml:space="preserve">“Not Used” </w:t>
            </w:r>
            <w:r w:rsidRPr="004C1900">
              <w:rPr>
                <w:i/>
                <w:iCs/>
                <w:color w:val="FF0000"/>
                <w:highlight w:val="lightGray"/>
              </w:rPr>
              <w:fldChar w:fldCharType="end"/>
            </w:r>
          </w:p>
          <w:p w14:paraId="0E392840" w14:textId="277BCC44"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262C0F">
              <w:rPr>
                <w:szCs w:val="22"/>
              </w:rPr>
              <w:t> </w:t>
            </w:r>
            <w:r w:rsidR="00262C0F">
              <w:rPr>
                <w:szCs w:val="22"/>
              </w:rPr>
              <w:t> </w:t>
            </w:r>
            <w:r w:rsidR="00262C0F">
              <w:rPr>
                <w:szCs w:val="22"/>
              </w:rPr>
              <w:t> </w:t>
            </w:r>
            <w:r w:rsidR="00262C0F">
              <w:rPr>
                <w:szCs w:val="22"/>
              </w:rPr>
              <w:t> </w:t>
            </w:r>
            <w:r w:rsidR="00262C0F">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262C0F">
              <w:rPr>
                <w:szCs w:val="22"/>
              </w:rPr>
              <w:t> </w:t>
            </w:r>
            <w:r w:rsidR="00262C0F">
              <w:rPr>
                <w:szCs w:val="22"/>
              </w:rPr>
              <w:t> </w:t>
            </w:r>
            <w:r w:rsidR="00262C0F">
              <w:rPr>
                <w:szCs w:val="22"/>
              </w:rPr>
              <w:t> </w:t>
            </w:r>
            <w:r w:rsidR="00262C0F">
              <w:rPr>
                <w:szCs w:val="22"/>
              </w:rPr>
              <w:t> </w:t>
            </w:r>
            <w:r w:rsidR="00262C0F">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1B957B95"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25093E">
                  <w:rPr>
                    <w:i/>
                    <w:noProof/>
                    <w:color w:val="FF0000"/>
                    <w:highlight w:val="lightGray"/>
                  </w:rPr>
                  <w:t>"Not Used"</w:t>
                </w:r>
                <w:r w:rsidRPr="00DC28E8">
                  <w:rPr>
                    <w:i/>
                    <w:color w:val="FF0000"/>
                    <w:highlight w:val="lightGray"/>
                  </w:rPr>
                  <w:fldChar w:fldCharType="end"/>
                </w:r>
              </w:p>
              <w:p w14:paraId="0C2A4408" w14:textId="50B2C597" w:rsidR="00BB5E9D" w:rsidRPr="00DC28E8" w:rsidRDefault="006D3140"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2BED8211"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 xml:space="preserve"> “Not Used” </w:t>
            </w:r>
            <w:r w:rsidRPr="00215CCA">
              <w:rPr>
                <w:i/>
                <w:iCs/>
                <w:color w:val="FF0000"/>
                <w:highlight w:val="lightGray"/>
              </w:rPr>
              <w:fldChar w:fldCharType="end"/>
            </w:r>
          </w:p>
          <w:p w14:paraId="56F72B09" w14:textId="17632822"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D90C4A">
              <w:rPr>
                <w:highlight w:val="lightGray"/>
              </w:rPr>
              <w:t> </w:t>
            </w:r>
            <w:r w:rsidR="00D90C4A">
              <w:rPr>
                <w:highlight w:val="lightGray"/>
              </w:rPr>
              <w:t> </w:t>
            </w:r>
            <w:r w:rsidR="00D90C4A">
              <w:rPr>
                <w:highlight w:val="lightGray"/>
              </w:rPr>
              <w:t> </w:t>
            </w:r>
            <w:r w:rsidR="00D90C4A">
              <w:rPr>
                <w:highlight w:val="lightGray"/>
              </w:rPr>
              <w:t> </w:t>
            </w:r>
            <w:r w:rsidR="00D90C4A">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31E3F9B5"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965B5">
                    <w:rPr>
                      <w:szCs w:val="22"/>
                    </w:rPr>
                    <w:t>€</w:t>
                  </w:r>
                  <w:r w:rsidR="00E07B76">
                    <w:rPr>
                      <w:noProof/>
                      <w:sz w:val="22"/>
                      <w:szCs w:val="22"/>
                    </w:rPr>
                    <w:t>12.5 million</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662594F0"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965B5">
                    <w:rPr>
                      <w:noProof/>
                      <w:sz w:val="22"/>
                      <w:szCs w:val="22"/>
                    </w:rPr>
                    <w:t>€6.5 million</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3A525979"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965B5">
                    <w:rPr>
                      <w:szCs w:val="22"/>
                    </w:rPr>
                    <w:t>€</w:t>
                  </w:r>
                  <w:r w:rsidR="00D965B5">
                    <w:rPr>
                      <w:noProof/>
                      <w:sz w:val="22"/>
                      <w:szCs w:val="22"/>
                    </w:rPr>
                    <w:t>5 million</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3ADB060C"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459B4" w:rsidRPr="00D459B4">
                    <w:rPr>
                      <w:noProof/>
                      <w:sz w:val="22"/>
                      <w:szCs w:val="22"/>
                    </w:rPr>
                    <w:t>€</w:t>
                  </w:r>
                  <w:r w:rsidR="009B600B">
                    <w:rPr>
                      <w:noProof/>
                      <w:sz w:val="22"/>
                      <w:szCs w:val="22"/>
                    </w:rPr>
                    <w:t>1</w:t>
                  </w:r>
                  <w:r w:rsidR="00D459B4" w:rsidRPr="00D459B4">
                    <w:rPr>
                      <w:noProof/>
                      <w:sz w:val="22"/>
                      <w:szCs w:val="22"/>
                    </w:rPr>
                    <w:t xml:space="preserve"> million</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1E8A8B04"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424DCC">
                    <w:rPr>
                      <w:noProof/>
                      <w:sz w:val="22"/>
                      <w:szCs w:val="22"/>
                    </w:rPr>
                    <w:t>Cyber Insurance[including loss of Data</w:t>
                  </w:r>
                  <w:r w:rsidR="009B600B">
                    <w:rPr>
                      <w:noProof/>
                      <w:sz w:val="22"/>
                      <w:szCs w:val="22"/>
                    </w:rPr>
                    <w:t>]</w:t>
                  </w:r>
                  <w:r w:rsidRPr="00CA3AF8">
                    <w:rPr>
                      <w:szCs w:val="22"/>
                    </w:rPr>
                    <w:fldChar w:fldCharType="end"/>
                  </w:r>
                </w:p>
              </w:tc>
              <w:tc>
                <w:tcPr>
                  <w:tcW w:w="2500" w:type="pct"/>
                  <w:vAlign w:val="center"/>
                </w:tcPr>
                <w:p w14:paraId="474CE49A" w14:textId="63CA7922"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9B600B">
                    <w:rPr>
                      <w:szCs w:val="22"/>
                    </w:rPr>
                    <w:t>€</w:t>
                  </w:r>
                  <w:r w:rsidR="009B600B">
                    <w:rPr>
                      <w:noProof/>
                      <w:sz w:val="22"/>
                      <w:szCs w:val="22"/>
                    </w:rPr>
                    <w:t>2 million</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6B5FADC6"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E36D99">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0E66C8">
              <w:t> </w:t>
            </w:r>
            <w:r w:rsidR="000E66C8">
              <w:t> </w:t>
            </w:r>
            <w:r w:rsidR="000E66C8">
              <w:t> </w:t>
            </w:r>
            <w:r w:rsidR="000E66C8">
              <w:t> </w:t>
            </w:r>
            <w:r w:rsidR="000E66C8">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01D566E9"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74C9D61B"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5B0450">
              <w:rPr>
                <w:i/>
                <w:iCs/>
                <w:color w:val="FF0000"/>
                <w:szCs w:val="22"/>
              </w:rPr>
              <w:t> </w:t>
            </w:r>
            <w:r w:rsidR="005B0450">
              <w:rPr>
                <w:i/>
                <w:iCs/>
                <w:color w:val="FF0000"/>
                <w:szCs w:val="22"/>
              </w:rPr>
              <w:t> </w:t>
            </w:r>
            <w:r w:rsidR="005B0450">
              <w:rPr>
                <w:i/>
                <w:iCs/>
                <w:color w:val="FF0000"/>
                <w:szCs w:val="22"/>
              </w:rPr>
              <w:t> </w:t>
            </w:r>
            <w:r w:rsidR="005B0450">
              <w:rPr>
                <w:i/>
                <w:iCs/>
                <w:color w:val="FF0000"/>
                <w:szCs w:val="22"/>
              </w:rPr>
              <w:t> </w:t>
            </w:r>
            <w:r w:rsidR="005B0450">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5B0450">
              <w:rPr>
                <w:szCs w:val="22"/>
              </w:rPr>
              <w:t> </w:t>
            </w:r>
            <w:r w:rsidR="005B0450">
              <w:rPr>
                <w:szCs w:val="22"/>
              </w:rPr>
              <w:t> </w:t>
            </w:r>
            <w:r w:rsidR="005B0450">
              <w:rPr>
                <w:szCs w:val="22"/>
              </w:rPr>
              <w:t> </w:t>
            </w:r>
            <w:r w:rsidR="005B0450">
              <w:rPr>
                <w:szCs w:val="22"/>
              </w:rPr>
              <w:t> </w:t>
            </w:r>
            <w:r w:rsidR="005B0450">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52B65A2B" w14:textId="77777777" w:rsidR="00C3103B" w:rsidRPr="00310EDC" w:rsidRDefault="00C3103B" w:rsidP="00B61DAD">
          <w:pPr>
            <w:spacing w:after="0"/>
          </w:pPr>
          <w:r w:rsidRPr="00310EDC">
            <w:t>[FREE TEXT AREA.  Insert financial capacity/amounts required, and details of documents that will be required as evidence]</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1B3F3C9C"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6060CE">
              <w:rPr>
                <w:i/>
                <w:iCs/>
                <w:color w:val="FF0000"/>
                <w:szCs w:val="22"/>
              </w:rPr>
              <w:t> </w:t>
            </w:r>
            <w:r w:rsidR="006060CE">
              <w:rPr>
                <w:i/>
                <w:iCs/>
                <w:color w:val="FF0000"/>
                <w:szCs w:val="22"/>
              </w:rPr>
              <w:t> </w:t>
            </w:r>
            <w:r w:rsidR="006060CE">
              <w:rPr>
                <w:i/>
                <w:iCs/>
                <w:color w:val="FF0000"/>
                <w:szCs w:val="22"/>
              </w:rPr>
              <w:t> </w:t>
            </w:r>
            <w:r w:rsidR="006060CE">
              <w:rPr>
                <w:i/>
                <w:iCs/>
                <w:color w:val="FF0000"/>
                <w:szCs w:val="22"/>
              </w:rPr>
              <w:t> </w:t>
            </w:r>
            <w:r w:rsidR="006060CE">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6060CE">
              <w:rPr>
                <w:szCs w:val="22"/>
              </w:rPr>
              <w:t> </w:t>
            </w:r>
            <w:r w:rsidR="006060CE">
              <w:rPr>
                <w:szCs w:val="22"/>
              </w:rPr>
              <w:t> </w:t>
            </w:r>
            <w:r w:rsidR="006060CE">
              <w:rPr>
                <w:szCs w:val="22"/>
              </w:rPr>
              <w:t> </w:t>
            </w:r>
            <w:r w:rsidR="006060CE">
              <w:rPr>
                <w:szCs w:val="22"/>
              </w:rPr>
              <w:t> </w:t>
            </w:r>
            <w:r w:rsidR="006060CE">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49DC5F59" w14:textId="77777777" w:rsidR="00C3103B" w:rsidRPr="00E63170" w:rsidRDefault="00C3103B" w:rsidP="00BA3C02">
      <w:pPr>
        <w:spacing w:after="0"/>
        <w:jc w:val="both"/>
        <w:rPr>
          <w:szCs w:val="22"/>
          <w:lang w:val="en-IE"/>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sdtContent>
        <w:p w14:paraId="612B6C92" w14:textId="565BA10A" w:rsidR="002900E1" w:rsidRDefault="002900E1" w:rsidP="002900E1">
          <w:pPr>
            <w:spacing w:after="0"/>
            <w:jc w:val="both"/>
            <w:rPr>
              <w:highlight w:val="yellow"/>
              <w:lang w:val="en-IE"/>
            </w:rPr>
          </w:pPr>
          <w:r w:rsidRPr="00D46C12">
            <w:rPr>
              <w:highlight w:val="yellow"/>
              <w:lang w:val="en-IE"/>
            </w:rPr>
            <w:t xml:space="preserve"> </w:t>
          </w:r>
        </w:p>
        <w:tbl>
          <w:tblPr>
            <w:tblpPr w:leftFromText="180" w:rightFromText="180" w:vertAnchor="text" w:horzAnchor="page" w:tblpXSpec="center" w:tblpY="106"/>
            <w:tblW w:w="8286" w:type="dxa"/>
            <w:tblLook w:val="04A0" w:firstRow="1" w:lastRow="0" w:firstColumn="1" w:lastColumn="0" w:noHBand="0" w:noVBand="1"/>
          </w:tblPr>
          <w:tblGrid>
            <w:gridCol w:w="1141"/>
            <w:gridCol w:w="3252"/>
            <w:gridCol w:w="2056"/>
            <w:gridCol w:w="1837"/>
          </w:tblGrid>
          <w:tr w:rsidR="0066099B" w:rsidRPr="003E2A2A" w14:paraId="016EF7E6" w14:textId="77777777" w:rsidTr="002524BC">
            <w:trPr>
              <w:trHeight w:val="403"/>
            </w:trPr>
            <w:tc>
              <w:tcPr>
                <w:tcW w:w="1141" w:type="dxa"/>
                <w:tcBorders>
                  <w:top w:val="single" w:sz="8" w:space="0" w:color="5B9BD5"/>
                  <w:left w:val="single" w:sz="8" w:space="0" w:color="5B9BD5"/>
                  <w:bottom w:val="single" w:sz="8" w:space="0" w:color="5B9BD5"/>
                  <w:right w:val="nil"/>
                </w:tcBorders>
                <w:shd w:val="clear" w:color="000000" w:fill="1F4E79"/>
              </w:tcPr>
              <w:p w14:paraId="109234DD" w14:textId="77777777" w:rsidR="0066099B" w:rsidRPr="003E2A2A" w:rsidRDefault="0066099B" w:rsidP="002524BC">
                <w:pPr>
                  <w:jc w:val="both"/>
                  <w:rPr>
                    <w:rFonts w:asciiTheme="minorHAnsi" w:hAnsiTheme="minorHAnsi"/>
                    <w:b/>
                    <w:bCs/>
                    <w:color w:val="FFFFFF"/>
                    <w:lang w:eastAsia="en-IE"/>
                  </w:rPr>
                </w:pPr>
                <w:bookmarkStart w:id="20" w:name="_Hlk207792687"/>
                <w:r w:rsidRPr="003E2A2A">
                  <w:rPr>
                    <w:rFonts w:asciiTheme="minorHAnsi" w:hAnsiTheme="minorHAnsi"/>
                    <w:b/>
                    <w:bCs/>
                    <w:color w:val="FFFFFF"/>
                    <w:szCs w:val="22"/>
                    <w:lang w:eastAsia="en-IE"/>
                  </w:rPr>
                  <w:t>Reference</w:t>
                </w:r>
              </w:p>
            </w:tc>
            <w:tc>
              <w:tcPr>
                <w:tcW w:w="3252" w:type="dxa"/>
                <w:tcBorders>
                  <w:top w:val="single" w:sz="8" w:space="0" w:color="5B9BD5"/>
                  <w:left w:val="single" w:sz="8" w:space="0" w:color="5B9BD5"/>
                  <w:bottom w:val="single" w:sz="8" w:space="0" w:color="5B9BD5"/>
                  <w:right w:val="nil"/>
                </w:tcBorders>
                <w:shd w:val="clear" w:color="000000" w:fill="1F4E79"/>
                <w:vAlign w:val="center"/>
                <w:hideMark/>
              </w:tcPr>
              <w:p w14:paraId="5402B29D" w14:textId="77777777" w:rsidR="0066099B" w:rsidRPr="003E2A2A" w:rsidRDefault="0066099B" w:rsidP="002524BC">
                <w:pPr>
                  <w:jc w:val="both"/>
                  <w:rPr>
                    <w:rFonts w:asciiTheme="minorHAnsi" w:hAnsiTheme="minorHAnsi"/>
                    <w:b/>
                    <w:bCs/>
                    <w:color w:val="FFFFFF"/>
                    <w:lang w:val="en-IE" w:eastAsia="en-IE"/>
                  </w:rPr>
                </w:pPr>
                <w:r w:rsidRPr="003E2A2A">
                  <w:rPr>
                    <w:rFonts w:asciiTheme="minorHAnsi" w:hAnsiTheme="minorHAnsi"/>
                    <w:b/>
                    <w:bCs/>
                    <w:color w:val="FFFFFF"/>
                    <w:szCs w:val="22"/>
                    <w:lang w:eastAsia="en-IE"/>
                  </w:rPr>
                  <w:t>Criteria</w:t>
                </w:r>
              </w:p>
            </w:tc>
            <w:tc>
              <w:tcPr>
                <w:tcW w:w="2056" w:type="dxa"/>
                <w:tcBorders>
                  <w:top w:val="single" w:sz="8" w:space="0" w:color="5B9BD5"/>
                  <w:left w:val="nil"/>
                  <w:bottom w:val="single" w:sz="8" w:space="0" w:color="5B9BD5"/>
                  <w:right w:val="nil"/>
                </w:tcBorders>
                <w:shd w:val="clear" w:color="000000" w:fill="1F4E79"/>
                <w:vAlign w:val="center"/>
                <w:hideMark/>
              </w:tcPr>
              <w:p w14:paraId="068B10F2" w14:textId="77777777" w:rsidR="0066099B" w:rsidRPr="003E2A2A" w:rsidRDefault="0066099B" w:rsidP="002524BC">
                <w:pPr>
                  <w:rPr>
                    <w:rFonts w:asciiTheme="minorHAnsi" w:hAnsiTheme="minorHAnsi"/>
                    <w:b/>
                    <w:bCs/>
                    <w:color w:val="FFFFFF"/>
                    <w:lang w:val="en-IE" w:eastAsia="en-IE"/>
                  </w:rPr>
                </w:pPr>
                <w:r w:rsidRPr="003E2A2A">
                  <w:rPr>
                    <w:rFonts w:asciiTheme="minorHAnsi" w:hAnsiTheme="minorHAnsi"/>
                    <w:b/>
                    <w:bCs/>
                    <w:color w:val="FFFFFF"/>
                    <w:szCs w:val="22"/>
                    <w:lang w:eastAsia="en-IE"/>
                  </w:rPr>
                  <w:t>Scoring</w:t>
                </w:r>
              </w:p>
            </w:tc>
            <w:tc>
              <w:tcPr>
                <w:tcW w:w="1837" w:type="dxa"/>
                <w:tcBorders>
                  <w:top w:val="single" w:sz="8" w:space="0" w:color="5B9BD5"/>
                  <w:left w:val="nil"/>
                  <w:bottom w:val="single" w:sz="8" w:space="0" w:color="5B9BD5"/>
                  <w:right w:val="single" w:sz="8" w:space="0" w:color="5B9BD5"/>
                </w:tcBorders>
                <w:shd w:val="clear" w:color="000000" w:fill="1F4E79"/>
                <w:vAlign w:val="center"/>
                <w:hideMark/>
              </w:tcPr>
              <w:p w14:paraId="2015DA93" w14:textId="77777777" w:rsidR="0066099B" w:rsidRPr="003E2A2A" w:rsidRDefault="0066099B" w:rsidP="002524BC">
                <w:pPr>
                  <w:rPr>
                    <w:rFonts w:asciiTheme="minorHAnsi" w:hAnsiTheme="minorHAnsi"/>
                    <w:b/>
                    <w:bCs/>
                    <w:color w:val="FFFFFF"/>
                    <w:lang w:val="en-IE" w:eastAsia="en-IE"/>
                  </w:rPr>
                </w:pPr>
                <w:r w:rsidRPr="003E2A2A">
                  <w:rPr>
                    <w:rFonts w:asciiTheme="minorHAnsi" w:hAnsiTheme="minorHAnsi"/>
                    <w:b/>
                    <w:bCs/>
                    <w:color w:val="FFFFFF"/>
                    <w:szCs w:val="22"/>
                    <w:lang w:eastAsia="en-IE"/>
                  </w:rPr>
                  <w:t>Minimum Mark Required</w:t>
                </w:r>
              </w:p>
            </w:tc>
          </w:tr>
          <w:tr w:rsidR="0066099B" w:rsidRPr="003E2A2A" w14:paraId="7AE2D6B3" w14:textId="77777777" w:rsidTr="002524BC">
            <w:trPr>
              <w:trHeight w:val="328"/>
            </w:trPr>
            <w:tc>
              <w:tcPr>
                <w:tcW w:w="1141" w:type="dxa"/>
                <w:tcBorders>
                  <w:top w:val="nil"/>
                  <w:left w:val="single" w:sz="8" w:space="0" w:color="9CC2E5"/>
                  <w:bottom w:val="single" w:sz="8" w:space="0" w:color="9CC2E5"/>
                  <w:right w:val="single" w:sz="8" w:space="0" w:color="9CC2E5"/>
                </w:tcBorders>
                <w:shd w:val="clear" w:color="000000" w:fill="DEEAF6"/>
                <w:vAlign w:val="center"/>
              </w:tcPr>
              <w:p w14:paraId="1928D267" w14:textId="77777777" w:rsidR="0066099B" w:rsidRPr="003E2A2A" w:rsidRDefault="0066099B" w:rsidP="002524BC">
                <w:pPr>
                  <w:jc w:val="center"/>
                  <w:rPr>
                    <w:rFonts w:asciiTheme="minorHAnsi" w:hAnsiTheme="minorHAnsi" w:cs="Calibri"/>
                    <w:b/>
                    <w:color w:val="1F3864" w:themeColor="accent5" w:themeShade="80"/>
                    <w:sz w:val="20"/>
                    <w:szCs w:val="20"/>
                  </w:rPr>
                </w:pPr>
                <w:r w:rsidRPr="003E2A2A">
                  <w:rPr>
                    <w:rFonts w:asciiTheme="minorHAnsi" w:hAnsiTheme="minorHAnsi" w:cs="Calibri"/>
                    <w:b/>
                    <w:color w:val="1F3864" w:themeColor="accent5" w:themeShade="80"/>
                    <w:sz w:val="20"/>
                    <w:szCs w:val="20"/>
                  </w:rPr>
                  <w:lastRenderedPageBreak/>
                  <w:t>A</w:t>
                </w:r>
              </w:p>
            </w:tc>
            <w:tc>
              <w:tcPr>
                <w:tcW w:w="3252" w:type="dxa"/>
                <w:tcBorders>
                  <w:top w:val="nil"/>
                  <w:left w:val="single" w:sz="8" w:space="0" w:color="9CC2E5"/>
                  <w:bottom w:val="single" w:sz="8" w:space="0" w:color="9CC2E5"/>
                  <w:right w:val="single" w:sz="8" w:space="0" w:color="9CC2E5"/>
                </w:tcBorders>
                <w:shd w:val="clear" w:color="000000" w:fill="DEEAF6"/>
                <w:hideMark/>
              </w:tcPr>
              <w:p w14:paraId="4E1C7476" w14:textId="62DC6BAE" w:rsidR="0066099B" w:rsidRPr="003E2A2A" w:rsidRDefault="0066099B" w:rsidP="002524BC">
                <w:pPr>
                  <w:rPr>
                    <w:rFonts w:asciiTheme="minorHAnsi" w:hAnsiTheme="minorHAnsi" w:cs="Calibri"/>
                    <w:b/>
                    <w:color w:val="1F3864" w:themeColor="accent5" w:themeShade="80"/>
                    <w:sz w:val="20"/>
                    <w:szCs w:val="20"/>
                  </w:rPr>
                </w:pPr>
                <w:r w:rsidRPr="003E2A2A">
                  <w:rPr>
                    <w:rFonts w:asciiTheme="minorHAnsi" w:hAnsiTheme="minorHAnsi" w:cs="Calibri"/>
                    <w:b/>
                    <w:color w:val="1F3864" w:themeColor="accent5" w:themeShade="80"/>
                    <w:sz w:val="20"/>
                    <w:szCs w:val="20"/>
                  </w:rPr>
                  <w:t>Cost</w:t>
                </w:r>
                <w:r w:rsidR="00D3191E">
                  <w:rPr>
                    <w:rFonts w:asciiTheme="minorHAnsi" w:hAnsiTheme="minorHAnsi" w:cs="Calibri"/>
                    <w:b/>
                    <w:color w:val="1F3864" w:themeColor="accent5" w:themeShade="80"/>
                    <w:sz w:val="20"/>
                    <w:szCs w:val="20"/>
                  </w:rPr>
                  <w:t xml:space="preserve"> – clarity and competit</w:t>
                </w:r>
                <w:r w:rsidR="004142A3">
                  <w:rPr>
                    <w:rFonts w:asciiTheme="minorHAnsi" w:hAnsiTheme="minorHAnsi" w:cs="Calibri"/>
                    <w:b/>
                    <w:color w:val="1F3864" w:themeColor="accent5" w:themeShade="80"/>
                    <w:sz w:val="20"/>
                    <w:szCs w:val="20"/>
                  </w:rPr>
                  <w:t xml:space="preserve">iveness of pricing (licences, support, </w:t>
                </w:r>
                <w:r w:rsidR="008A36C2">
                  <w:rPr>
                    <w:rFonts w:asciiTheme="minorHAnsi" w:hAnsiTheme="minorHAnsi" w:cs="Calibri"/>
                    <w:b/>
                    <w:color w:val="1F3864" w:themeColor="accent5" w:themeShade="80"/>
                    <w:sz w:val="20"/>
                    <w:szCs w:val="20"/>
                  </w:rPr>
                  <w:t xml:space="preserve">software, hardware) </w:t>
                </w:r>
              </w:p>
            </w:tc>
            <w:tc>
              <w:tcPr>
                <w:tcW w:w="2056" w:type="dxa"/>
                <w:tcBorders>
                  <w:top w:val="nil"/>
                  <w:left w:val="nil"/>
                  <w:bottom w:val="single" w:sz="8" w:space="0" w:color="9CC2E5"/>
                  <w:right w:val="single" w:sz="8" w:space="0" w:color="9CC2E5"/>
                </w:tcBorders>
                <w:shd w:val="clear" w:color="000000" w:fill="DEEAF6"/>
                <w:vAlign w:val="center"/>
                <w:hideMark/>
              </w:tcPr>
              <w:p w14:paraId="34ACBD4E" w14:textId="6BEDED6B" w:rsidR="0066099B" w:rsidRPr="005F0B12" w:rsidRDefault="00DD77DC" w:rsidP="002524BC">
                <w:pPr>
                  <w:jc w:val="center"/>
                  <w:rPr>
                    <w:rFonts w:asciiTheme="minorHAnsi" w:hAnsiTheme="minorHAnsi"/>
                    <w:color w:val="000000"/>
                    <w:sz w:val="20"/>
                    <w:szCs w:val="20"/>
                    <w:lang w:val="en-IE" w:eastAsia="en-IE"/>
                  </w:rPr>
                </w:pPr>
                <w:r>
                  <w:rPr>
                    <w:rFonts w:asciiTheme="minorHAnsi" w:hAnsiTheme="minorHAnsi" w:cs="Calibri"/>
                    <w:b/>
                    <w:color w:val="1F3864" w:themeColor="accent5" w:themeShade="80"/>
                    <w:sz w:val="20"/>
                    <w:szCs w:val="20"/>
                  </w:rPr>
                  <w:t>3</w:t>
                </w:r>
                <w:r w:rsidR="0066099B" w:rsidRPr="005F0B12">
                  <w:rPr>
                    <w:rFonts w:asciiTheme="minorHAnsi" w:hAnsiTheme="minorHAnsi" w:cs="Calibri"/>
                    <w:b/>
                    <w:color w:val="1F3864" w:themeColor="accent5" w:themeShade="80"/>
                    <w:sz w:val="20"/>
                    <w:szCs w:val="20"/>
                  </w:rPr>
                  <w:t>00</w:t>
                </w:r>
                <w:r w:rsidR="0066099B">
                  <w:rPr>
                    <w:rFonts w:asciiTheme="minorHAnsi" w:hAnsiTheme="minorHAnsi" w:cs="Calibri"/>
                    <w:b/>
                    <w:color w:val="1F3864" w:themeColor="accent5" w:themeShade="80"/>
                    <w:sz w:val="20"/>
                    <w:szCs w:val="20"/>
                  </w:rPr>
                  <w:t>0</w:t>
                </w:r>
              </w:p>
            </w:tc>
            <w:tc>
              <w:tcPr>
                <w:tcW w:w="1837" w:type="dxa"/>
                <w:tcBorders>
                  <w:top w:val="nil"/>
                  <w:left w:val="nil"/>
                  <w:bottom w:val="single" w:sz="8" w:space="0" w:color="9CC2E5"/>
                  <w:right w:val="single" w:sz="8" w:space="0" w:color="9CC2E5"/>
                </w:tcBorders>
                <w:shd w:val="clear" w:color="000000" w:fill="DEEAF6"/>
                <w:vAlign w:val="center"/>
                <w:hideMark/>
              </w:tcPr>
              <w:p w14:paraId="61E720D1" w14:textId="77777777" w:rsidR="0066099B" w:rsidRPr="003E2A2A" w:rsidRDefault="0066099B" w:rsidP="002524BC">
                <w:pPr>
                  <w:jc w:val="center"/>
                  <w:rPr>
                    <w:rFonts w:asciiTheme="minorHAnsi" w:hAnsiTheme="minorHAnsi"/>
                    <w:color w:val="000000"/>
                    <w:sz w:val="20"/>
                    <w:szCs w:val="20"/>
                    <w:lang w:val="en-IE" w:eastAsia="en-IE"/>
                  </w:rPr>
                </w:pPr>
                <w:r>
                  <w:rPr>
                    <w:rFonts w:asciiTheme="minorHAnsi" w:hAnsiTheme="minorHAnsi"/>
                    <w:color w:val="000000"/>
                    <w:sz w:val="20"/>
                    <w:szCs w:val="20"/>
                    <w:lang w:val="en-IE" w:eastAsia="en-IE"/>
                  </w:rPr>
                  <w:t>N/A</w:t>
                </w:r>
              </w:p>
            </w:tc>
          </w:tr>
          <w:tr w:rsidR="0066099B" w:rsidRPr="003E2A2A" w14:paraId="2AC732C5" w14:textId="77777777" w:rsidTr="002524BC">
            <w:trPr>
              <w:trHeight w:val="328"/>
            </w:trPr>
            <w:tc>
              <w:tcPr>
                <w:tcW w:w="1141" w:type="dxa"/>
                <w:tcBorders>
                  <w:top w:val="nil"/>
                  <w:left w:val="single" w:sz="8" w:space="0" w:color="9CC2E5"/>
                  <w:bottom w:val="single" w:sz="8" w:space="0" w:color="9CC2E5"/>
                  <w:right w:val="single" w:sz="8" w:space="0" w:color="9CC2E5"/>
                </w:tcBorders>
                <w:vAlign w:val="center"/>
              </w:tcPr>
              <w:p w14:paraId="6B539CFE" w14:textId="77777777" w:rsidR="0066099B" w:rsidRPr="003E2A2A" w:rsidRDefault="0066099B" w:rsidP="002524BC">
                <w:pPr>
                  <w:jc w:val="center"/>
                  <w:rPr>
                    <w:rFonts w:asciiTheme="minorHAnsi" w:hAnsiTheme="minorHAnsi" w:cs="Calibri"/>
                    <w:b/>
                    <w:color w:val="1F3864" w:themeColor="accent5" w:themeShade="80"/>
                    <w:sz w:val="20"/>
                    <w:szCs w:val="20"/>
                  </w:rPr>
                </w:pPr>
                <w:r w:rsidRPr="003E2A2A">
                  <w:rPr>
                    <w:rFonts w:asciiTheme="minorHAnsi" w:hAnsiTheme="minorHAnsi" w:cs="Calibri"/>
                    <w:b/>
                    <w:color w:val="1F3864" w:themeColor="accent5" w:themeShade="80"/>
                    <w:sz w:val="20"/>
                    <w:szCs w:val="20"/>
                  </w:rPr>
                  <w:t>B</w:t>
                </w:r>
              </w:p>
            </w:tc>
            <w:tc>
              <w:tcPr>
                <w:tcW w:w="3252" w:type="dxa"/>
                <w:tcBorders>
                  <w:top w:val="nil"/>
                  <w:left w:val="single" w:sz="8" w:space="0" w:color="9CC2E5"/>
                  <w:bottom w:val="single" w:sz="8" w:space="0" w:color="9CC2E5"/>
                  <w:right w:val="single" w:sz="8" w:space="0" w:color="9CC2E5"/>
                </w:tcBorders>
              </w:tcPr>
              <w:p w14:paraId="01BAA1CE" w14:textId="2A39A2D7" w:rsidR="0066099B" w:rsidRPr="003E2A2A" w:rsidRDefault="007A68F4" w:rsidP="002524BC">
                <w:pP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Quality of Technical Solution</w:t>
                </w:r>
                <w:r w:rsidR="0043729C">
                  <w:rPr>
                    <w:rFonts w:asciiTheme="minorHAnsi" w:hAnsiTheme="minorHAnsi" w:cs="Calibri"/>
                    <w:b/>
                    <w:color w:val="1F3864" w:themeColor="accent5" w:themeShade="80"/>
                    <w:sz w:val="20"/>
                    <w:szCs w:val="20"/>
                  </w:rPr>
                  <w:t xml:space="preserve"> – design, security, resilience</w:t>
                </w:r>
                <w:r w:rsidR="00222CB6">
                  <w:rPr>
                    <w:rFonts w:asciiTheme="minorHAnsi" w:hAnsiTheme="minorHAnsi" w:cs="Calibri"/>
                    <w:b/>
                    <w:color w:val="1F3864" w:themeColor="accent5" w:themeShade="80"/>
                    <w:sz w:val="20"/>
                    <w:szCs w:val="20"/>
                  </w:rPr>
                  <w:t xml:space="preserve"> and usability.</w:t>
                </w:r>
              </w:p>
            </w:tc>
            <w:tc>
              <w:tcPr>
                <w:tcW w:w="2056" w:type="dxa"/>
                <w:tcBorders>
                  <w:top w:val="nil"/>
                  <w:left w:val="nil"/>
                  <w:bottom w:val="single" w:sz="8" w:space="0" w:color="9CC2E5"/>
                  <w:right w:val="single" w:sz="8" w:space="0" w:color="9CC2E5"/>
                </w:tcBorders>
                <w:vAlign w:val="center"/>
              </w:tcPr>
              <w:p w14:paraId="6FDE141B" w14:textId="64064172" w:rsidR="0066099B" w:rsidRPr="005F0B12" w:rsidRDefault="001E5AA5" w:rsidP="002524BC">
                <w:pPr>
                  <w:jc w:val="center"/>
                  <w:rPr>
                    <w:rFonts w:asciiTheme="minorHAnsi" w:hAnsiTheme="minorHAnsi"/>
                    <w:color w:val="000000"/>
                    <w:sz w:val="20"/>
                    <w:szCs w:val="20"/>
                    <w:lang w:val="en-IE" w:eastAsia="en-IE"/>
                  </w:rPr>
                </w:pPr>
                <w:r>
                  <w:rPr>
                    <w:rFonts w:asciiTheme="minorHAnsi" w:hAnsiTheme="minorHAnsi" w:cs="Calibri"/>
                    <w:b/>
                    <w:color w:val="1F3864" w:themeColor="accent5" w:themeShade="80"/>
                    <w:sz w:val="20"/>
                    <w:szCs w:val="20"/>
                  </w:rPr>
                  <w:t>3</w:t>
                </w:r>
                <w:r w:rsidR="00286EB8">
                  <w:rPr>
                    <w:rFonts w:asciiTheme="minorHAnsi" w:hAnsiTheme="minorHAnsi" w:cs="Calibri"/>
                    <w:b/>
                    <w:color w:val="1F3864" w:themeColor="accent5" w:themeShade="80"/>
                    <w:sz w:val="20"/>
                    <w:szCs w:val="20"/>
                  </w:rPr>
                  <w:t>5</w:t>
                </w:r>
                <w:r>
                  <w:rPr>
                    <w:rFonts w:asciiTheme="minorHAnsi" w:hAnsiTheme="minorHAnsi" w:cs="Calibri"/>
                    <w:b/>
                    <w:color w:val="1F3864" w:themeColor="accent5" w:themeShade="80"/>
                    <w:sz w:val="20"/>
                    <w:szCs w:val="20"/>
                  </w:rPr>
                  <w:t>00</w:t>
                </w:r>
              </w:p>
            </w:tc>
            <w:tc>
              <w:tcPr>
                <w:tcW w:w="1837" w:type="dxa"/>
                <w:tcBorders>
                  <w:top w:val="nil"/>
                  <w:left w:val="nil"/>
                  <w:bottom w:val="single" w:sz="8" w:space="0" w:color="9CC2E5"/>
                  <w:right w:val="single" w:sz="8" w:space="0" w:color="9CC2E5"/>
                </w:tcBorders>
                <w:vAlign w:val="center"/>
              </w:tcPr>
              <w:p w14:paraId="35B63976" w14:textId="2F6AED73" w:rsidR="0066099B" w:rsidRPr="003E2A2A" w:rsidRDefault="00B001E1" w:rsidP="00B001E1">
                <w:pPr>
                  <w:jc w:val="center"/>
                  <w:rPr>
                    <w:rFonts w:asciiTheme="minorHAnsi" w:hAnsiTheme="minorHAnsi"/>
                    <w:color w:val="000000"/>
                    <w:sz w:val="20"/>
                    <w:szCs w:val="20"/>
                    <w:lang w:val="en-IE" w:eastAsia="en-IE"/>
                  </w:rPr>
                </w:pPr>
                <w:r>
                  <w:rPr>
                    <w:rFonts w:asciiTheme="minorHAnsi" w:hAnsiTheme="minorHAnsi"/>
                    <w:color w:val="000000"/>
                    <w:sz w:val="20"/>
                    <w:szCs w:val="20"/>
                    <w:lang w:val="en-IE" w:eastAsia="en-IE"/>
                  </w:rPr>
                  <w:t>150</w:t>
                </w:r>
                <w:r w:rsidR="0066099B">
                  <w:rPr>
                    <w:rFonts w:asciiTheme="minorHAnsi" w:hAnsiTheme="minorHAnsi"/>
                    <w:color w:val="000000"/>
                    <w:sz w:val="20"/>
                    <w:szCs w:val="20"/>
                    <w:lang w:val="en-IE" w:eastAsia="en-IE"/>
                  </w:rPr>
                  <w:t>0</w:t>
                </w:r>
              </w:p>
            </w:tc>
          </w:tr>
          <w:tr w:rsidR="0066099B" w:rsidRPr="003E2A2A" w14:paraId="13704FF0" w14:textId="77777777" w:rsidTr="002524BC">
            <w:trPr>
              <w:trHeight w:val="328"/>
            </w:trPr>
            <w:tc>
              <w:tcPr>
                <w:tcW w:w="1141" w:type="dxa"/>
                <w:tcBorders>
                  <w:top w:val="nil"/>
                  <w:left w:val="single" w:sz="8" w:space="0" w:color="9CC2E5"/>
                  <w:bottom w:val="single" w:sz="8" w:space="0" w:color="9CC2E5"/>
                  <w:right w:val="single" w:sz="8" w:space="0" w:color="9CC2E5"/>
                </w:tcBorders>
                <w:shd w:val="clear" w:color="000000" w:fill="DEEAF6"/>
                <w:vAlign w:val="center"/>
              </w:tcPr>
              <w:p w14:paraId="184A8BB9" w14:textId="0BE1225E" w:rsidR="0066099B" w:rsidRPr="003E2A2A" w:rsidRDefault="00891448" w:rsidP="002524BC">
                <w:pPr>
                  <w:jc w:val="cente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C</w:t>
                </w:r>
              </w:p>
            </w:tc>
            <w:tc>
              <w:tcPr>
                <w:tcW w:w="3252" w:type="dxa"/>
                <w:tcBorders>
                  <w:top w:val="nil"/>
                  <w:left w:val="single" w:sz="8" w:space="0" w:color="9CC2E5"/>
                  <w:bottom w:val="single" w:sz="8" w:space="0" w:color="9CC2E5"/>
                  <w:right w:val="single" w:sz="8" w:space="0" w:color="9CC2E5"/>
                </w:tcBorders>
                <w:shd w:val="clear" w:color="000000" w:fill="DEEAF6"/>
              </w:tcPr>
              <w:p w14:paraId="7EDEF259" w14:textId="1567A25F" w:rsidR="0066099B" w:rsidRPr="003E2A2A" w:rsidRDefault="00117F8E" w:rsidP="002524BC">
                <w:pP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 xml:space="preserve">Support </w:t>
                </w:r>
                <w:r w:rsidR="00203A7C">
                  <w:rPr>
                    <w:rFonts w:asciiTheme="minorHAnsi" w:hAnsiTheme="minorHAnsi" w:cs="Calibri"/>
                    <w:b/>
                    <w:color w:val="1F3864" w:themeColor="accent5" w:themeShade="80"/>
                    <w:sz w:val="20"/>
                    <w:szCs w:val="20"/>
                  </w:rPr>
                  <w:t>O</w:t>
                </w:r>
                <w:r>
                  <w:rPr>
                    <w:rFonts w:asciiTheme="minorHAnsi" w:hAnsiTheme="minorHAnsi" w:cs="Calibri"/>
                    <w:b/>
                    <w:color w:val="1F3864" w:themeColor="accent5" w:themeShade="80"/>
                    <w:sz w:val="20"/>
                    <w:szCs w:val="20"/>
                  </w:rPr>
                  <w:t>perations</w:t>
                </w:r>
                <w:r w:rsidR="005311A8">
                  <w:rPr>
                    <w:rFonts w:asciiTheme="minorHAnsi" w:hAnsiTheme="minorHAnsi" w:cs="Calibri"/>
                    <w:b/>
                    <w:color w:val="1F3864" w:themeColor="accent5" w:themeShade="80"/>
                    <w:sz w:val="20"/>
                    <w:szCs w:val="20"/>
                  </w:rPr>
                  <w:t>, Monitoring</w:t>
                </w:r>
                <w:r w:rsidR="0082410E">
                  <w:rPr>
                    <w:rFonts w:asciiTheme="minorHAnsi" w:hAnsiTheme="minorHAnsi" w:cs="Calibri"/>
                    <w:b/>
                    <w:color w:val="1F3864" w:themeColor="accent5" w:themeShade="80"/>
                    <w:sz w:val="20"/>
                    <w:szCs w:val="20"/>
                  </w:rPr>
                  <w:t xml:space="preserve"> &amp; Continuous Improvement</w:t>
                </w:r>
              </w:p>
            </w:tc>
            <w:tc>
              <w:tcPr>
                <w:tcW w:w="2056" w:type="dxa"/>
                <w:tcBorders>
                  <w:top w:val="nil"/>
                  <w:left w:val="nil"/>
                  <w:bottom w:val="single" w:sz="8" w:space="0" w:color="9CC2E5"/>
                  <w:right w:val="single" w:sz="8" w:space="0" w:color="9CC2E5"/>
                </w:tcBorders>
                <w:shd w:val="clear" w:color="000000" w:fill="DEEAF6"/>
                <w:vAlign w:val="center"/>
              </w:tcPr>
              <w:p w14:paraId="4A043EBC" w14:textId="1C2E3771" w:rsidR="0066099B" w:rsidRPr="005F0B12" w:rsidRDefault="00B26BD7" w:rsidP="002524BC">
                <w:pPr>
                  <w:jc w:val="cente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30</w:t>
                </w:r>
                <w:r w:rsidR="0066099B">
                  <w:rPr>
                    <w:rFonts w:asciiTheme="minorHAnsi" w:hAnsiTheme="minorHAnsi" w:cs="Calibri"/>
                    <w:b/>
                    <w:color w:val="1F3864" w:themeColor="accent5" w:themeShade="80"/>
                    <w:sz w:val="20"/>
                    <w:szCs w:val="20"/>
                  </w:rPr>
                  <w:t>00</w:t>
                </w:r>
              </w:p>
            </w:tc>
            <w:tc>
              <w:tcPr>
                <w:tcW w:w="1837" w:type="dxa"/>
                <w:tcBorders>
                  <w:top w:val="nil"/>
                  <w:left w:val="nil"/>
                  <w:bottom w:val="single" w:sz="8" w:space="0" w:color="9CC2E5"/>
                  <w:right w:val="single" w:sz="8" w:space="0" w:color="9CC2E5"/>
                </w:tcBorders>
                <w:shd w:val="clear" w:color="000000" w:fill="DEEAF6"/>
                <w:vAlign w:val="center"/>
              </w:tcPr>
              <w:p w14:paraId="1FE79C9F" w14:textId="234530AC" w:rsidR="0066099B" w:rsidRPr="003E2A2A" w:rsidRDefault="00B001E1" w:rsidP="002524BC">
                <w:pPr>
                  <w:jc w:val="center"/>
                  <w:rPr>
                    <w:rFonts w:asciiTheme="minorHAnsi" w:hAnsiTheme="minorHAnsi"/>
                    <w:color w:val="000000"/>
                    <w:sz w:val="20"/>
                    <w:szCs w:val="20"/>
                    <w:lang w:val="en-IE" w:eastAsia="en-IE"/>
                  </w:rPr>
                </w:pPr>
                <w:r>
                  <w:rPr>
                    <w:rFonts w:asciiTheme="minorHAnsi" w:hAnsiTheme="minorHAnsi"/>
                    <w:color w:val="000000"/>
                    <w:sz w:val="20"/>
                    <w:szCs w:val="20"/>
                    <w:lang w:val="en-IE" w:eastAsia="en-IE"/>
                  </w:rPr>
                  <w:t>1</w:t>
                </w:r>
                <w:r w:rsidR="00B26BD7">
                  <w:rPr>
                    <w:rFonts w:asciiTheme="minorHAnsi" w:hAnsiTheme="minorHAnsi"/>
                    <w:color w:val="000000"/>
                    <w:sz w:val="20"/>
                    <w:szCs w:val="20"/>
                    <w:lang w:val="en-IE" w:eastAsia="en-IE"/>
                  </w:rPr>
                  <w:t>5</w:t>
                </w:r>
                <w:r w:rsidR="0066099B">
                  <w:rPr>
                    <w:rFonts w:asciiTheme="minorHAnsi" w:hAnsiTheme="minorHAnsi"/>
                    <w:color w:val="000000"/>
                    <w:sz w:val="20"/>
                    <w:szCs w:val="20"/>
                    <w:lang w:val="en-IE" w:eastAsia="en-IE"/>
                  </w:rPr>
                  <w:t>00</w:t>
                </w:r>
              </w:p>
            </w:tc>
          </w:tr>
          <w:tr w:rsidR="0066099B" w:rsidRPr="003E2A2A" w14:paraId="635049A4" w14:textId="77777777" w:rsidTr="002524BC">
            <w:trPr>
              <w:trHeight w:val="328"/>
            </w:trPr>
            <w:tc>
              <w:tcPr>
                <w:tcW w:w="1141" w:type="dxa"/>
                <w:tcBorders>
                  <w:top w:val="nil"/>
                  <w:left w:val="single" w:sz="8" w:space="0" w:color="9CC2E5"/>
                  <w:bottom w:val="single" w:sz="8" w:space="0" w:color="9CC2E5"/>
                  <w:right w:val="single" w:sz="8" w:space="0" w:color="9CC2E5"/>
                </w:tcBorders>
                <w:shd w:val="clear" w:color="000000" w:fill="DEEAF6"/>
                <w:vAlign w:val="center"/>
              </w:tcPr>
              <w:p w14:paraId="56B76B4D" w14:textId="5770AD54" w:rsidR="0066099B" w:rsidRPr="003E2A2A" w:rsidRDefault="00891448" w:rsidP="002524BC">
                <w:pPr>
                  <w:jc w:val="cente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d</w:t>
                </w:r>
              </w:p>
            </w:tc>
            <w:tc>
              <w:tcPr>
                <w:tcW w:w="3252" w:type="dxa"/>
                <w:tcBorders>
                  <w:top w:val="nil"/>
                  <w:left w:val="single" w:sz="8" w:space="0" w:color="9CC2E5"/>
                  <w:bottom w:val="single" w:sz="8" w:space="0" w:color="9CC2E5"/>
                  <w:right w:val="single" w:sz="8" w:space="0" w:color="9CC2E5"/>
                </w:tcBorders>
                <w:shd w:val="clear" w:color="000000" w:fill="DEEAF6"/>
              </w:tcPr>
              <w:p w14:paraId="559C3CE4" w14:textId="77777777" w:rsidR="0066099B" w:rsidRPr="003E2A2A" w:rsidRDefault="0066099B" w:rsidP="002524BC">
                <w:pP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Environmental characteristics</w:t>
                </w:r>
              </w:p>
            </w:tc>
            <w:tc>
              <w:tcPr>
                <w:tcW w:w="2056" w:type="dxa"/>
                <w:tcBorders>
                  <w:top w:val="nil"/>
                  <w:left w:val="nil"/>
                  <w:bottom w:val="single" w:sz="8" w:space="0" w:color="9CC2E5"/>
                  <w:right w:val="single" w:sz="8" w:space="0" w:color="9CC2E5"/>
                </w:tcBorders>
                <w:shd w:val="clear" w:color="000000" w:fill="DEEAF6"/>
                <w:vAlign w:val="center"/>
              </w:tcPr>
              <w:p w14:paraId="65D8E173" w14:textId="77777777" w:rsidR="0066099B" w:rsidRPr="005F0B12" w:rsidRDefault="0066099B" w:rsidP="002524BC">
                <w:pPr>
                  <w:jc w:val="center"/>
                  <w:rPr>
                    <w:rFonts w:asciiTheme="minorHAnsi" w:hAnsiTheme="minorHAnsi" w:cs="Calibri"/>
                    <w:b/>
                    <w:color w:val="1F3864" w:themeColor="accent5" w:themeShade="80"/>
                    <w:sz w:val="20"/>
                    <w:szCs w:val="20"/>
                  </w:rPr>
                </w:pPr>
                <w:r>
                  <w:rPr>
                    <w:rFonts w:asciiTheme="minorHAnsi" w:hAnsiTheme="minorHAnsi" w:cs="Calibri"/>
                    <w:b/>
                    <w:color w:val="1F3864" w:themeColor="accent5" w:themeShade="80"/>
                    <w:sz w:val="20"/>
                    <w:szCs w:val="20"/>
                  </w:rPr>
                  <w:t>500</w:t>
                </w:r>
              </w:p>
            </w:tc>
            <w:tc>
              <w:tcPr>
                <w:tcW w:w="1837" w:type="dxa"/>
                <w:tcBorders>
                  <w:top w:val="nil"/>
                  <w:left w:val="nil"/>
                  <w:bottom w:val="single" w:sz="8" w:space="0" w:color="9CC2E5"/>
                  <w:right w:val="single" w:sz="8" w:space="0" w:color="9CC2E5"/>
                </w:tcBorders>
                <w:shd w:val="clear" w:color="000000" w:fill="DEEAF6"/>
                <w:vAlign w:val="center"/>
              </w:tcPr>
              <w:p w14:paraId="4C4DE4D3" w14:textId="77777777" w:rsidR="0066099B" w:rsidRPr="003E2A2A" w:rsidRDefault="0066099B" w:rsidP="002524BC">
                <w:pPr>
                  <w:jc w:val="center"/>
                  <w:rPr>
                    <w:rFonts w:asciiTheme="minorHAnsi" w:hAnsiTheme="minorHAnsi"/>
                    <w:color w:val="000000"/>
                    <w:sz w:val="20"/>
                    <w:szCs w:val="20"/>
                    <w:lang w:val="en-IE" w:eastAsia="en-IE"/>
                  </w:rPr>
                </w:pPr>
                <w:r>
                  <w:rPr>
                    <w:rFonts w:asciiTheme="minorHAnsi" w:hAnsiTheme="minorHAnsi"/>
                    <w:color w:val="000000"/>
                    <w:sz w:val="20"/>
                    <w:szCs w:val="20"/>
                    <w:lang w:val="en-IE" w:eastAsia="en-IE"/>
                  </w:rPr>
                  <w:t>N/A</w:t>
                </w:r>
              </w:p>
            </w:tc>
          </w:tr>
          <w:tr w:rsidR="0066099B" w:rsidRPr="003E2A2A" w14:paraId="03555F4A" w14:textId="77777777" w:rsidTr="002524BC">
            <w:trPr>
              <w:trHeight w:val="328"/>
            </w:trPr>
            <w:tc>
              <w:tcPr>
                <w:tcW w:w="1141" w:type="dxa"/>
                <w:tcBorders>
                  <w:top w:val="nil"/>
                  <w:left w:val="single" w:sz="8" w:space="0" w:color="9CC2E5"/>
                  <w:bottom w:val="single" w:sz="8" w:space="0" w:color="9CC2E5"/>
                  <w:right w:val="single" w:sz="8" w:space="0" w:color="9CC2E5"/>
                </w:tcBorders>
                <w:shd w:val="clear" w:color="000000" w:fill="1F4E79"/>
              </w:tcPr>
              <w:p w14:paraId="1A26145D" w14:textId="77777777" w:rsidR="0066099B" w:rsidRPr="003E2A2A" w:rsidRDefault="0066099B" w:rsidP="002524BC">
                <w:pPr>
                  <w:jc w:val="both"/>
                  <w:rPr>
                    <w:rFonts w:asciiTheme="minorHAnsi" w:hAnsiTheme="minorHAnsi"/>
                    <w:b/>
                    <w:bCs/>
                    <w:color w:val="FFFFFF"/>
                    <w:sz w:val="20"/>
                    <w:szCs w:val="20"/>
                    <w:lang w:val="en-IE" w:eastAsia="en-IE"/>
                  </w:rPr>
                </w:pPr>
              </w:p>
            </w:tc>
            <w:tc>
              <w:tcPr>
                <w:tcW w:w="3252" w:type="dxa"/>
                <w:tcBorders>
                  <w:top w:val="nil"/>
                  <w:left w:val="single" w:sz="8" w:space="0" w:color="9CC2E5"/>
                  <w:bottom w:val="single" w:sz="8" w:space="0" w:color="9CC2E5"/>
                  <w:right w:val="single" w:sz="8" w:space="0" w:color="9CC2E5"/>
                </w:tcBorders>
                <w:shd w:val="clear" w:color="000000" w:fill="1F4E79"/>
                <w:vAlign w:val="center"/>
                <w:hideMark/>
              </w:tcPr>
              <w:p w14:paraId="41E7E9F5" w14:textId="77777777" w:rsidR="0066099B" w:rsidRPr="003E2A2A" w:rsidRDefault="0066099B" w:rsidP="002524BC">
                <w:pPr>
                  <w:jc w:val="both"/>
                  <w:rPr>
                    <w:rFonts w:asciiTheme="minorHAnsi" w:hAnsiTheme="minorHAnsi"/>
                    <w:b/>
                    <w:bCs/>
                    <w:color w:val="FFFFFF"/>
                    <w:sz w:val="20"/>
                    <w:szCs w:val="20"/>
                    <w:lang w:val="en-IE" w:eastAsia="en-IE"/>
                  </w:rPr>
                </w:pPr>
                <w:r w:rsidRPr="003E2A2A">
                  <w:rPr>
                    <w:rFonts w:asciiTheme="minorHAnsi" w:hAnsiTheme="minorHAnsi"/>
                    <w:b/>
                    <w:bCs/>
                    <w:color w:val="FFFFFF"/>
                    <w:sz w:val="20"/>
                    <w:szCs w:val="20"/>
                    <w:lang w:val="en-IE" w:eastAsia="en-IE"/>
                  </w:rPr>
                  <w:t>Total</w:t>
                </w:r>
              </w:p>
            </w:tc>
            <w:tc>
              <w:tcPr>
                <w:tcW w:w="2056" w:type="dxa"/>
                <w:tcBorders>
                  <w:top w:val="nil"/>
                  <w:left w:val="nil"/>
                  <w:bottom w:val="single" w:sz="8" w:space="0" w:color="9CC2E5"/>
                  <w:right w:val="single" w:sz="8" w:space="0" w:color="9CC2E5"/>
                </w:tcBorders>
                <w:shd w:val="clear" w:color="000000" w:fill="1F4E79"/>
                <w:vAlign w:val="center"/>
                <w:hideMark/>
              </w:tcPr>
              <w:p w14:paraId="7907425A" w14:textId="77777777" w:rsidR="0066099B" w:rsidRPr="003E2A2A" w:rsidRDefault="0066099B" w:rsidP="002524BC">
                <w:pPr>
                  <w:jc w:val="center"/>
                  <w:rPr>
                    <w:rFonts w:asciiTheme="minorHAnsi" w:hAnsiTheme="minorHAnsi"/>
                    <w:b/>
                    <w:bCs/>
                    <w:color w:val="FFFFFF"/>
                    <w:sz w:val="20"/>
                    <w:szCs w:val="20"/>
                    <w:lang w:val="en-IE" w:eastAsia="en-IE"/>
                  </w:rPr>
                </w:pPr>
                <w:r w:rsidRPr="003E2A2A">
                  <w:rPr>
                    <w:rFonts w:asciiTheme="minorHAnsi" w:hAnsiTheme="minorHAnsi"/>
                    <w:b/>
                    <w:bCs/>
                    <w:color w:val="FFFFFF"/>
                    <w:sz w:val="20"/>
                    <w:szCs w:val="20"/>
                    <w:lang w:eastAsia="en-IE"/>
                  </w:rPr>
                  <w:t>1000</w:t>
                </w:r>
                <w:r>
                  <w:rPr>
                    <w:rFonts w:asciiTheme="minorHAnsi" w:hAnsiTheme="minorHAnsi"/>
                    <w:b/>
                    <w:bCs/>
                    <w:color w:val="FFFFFF"/>
                    <w:sz w:val="20"/>
                    <w:szCs w:val="20"/>
                    <w:lang w:eastAsia="en-IE"/>
                  </w:rPr>
                  <w:t>0</w:t>
                </w:r>
              </w:p>
            </w:tc>
            <w:tc>
              <w:tcPr>
                <w:tcW w:w="1837" w:type="dxa"/>
                <w:tcBorders>
                  <w:top w:val="nil"/>
                  <w:left w:val="nil"/>
                  <w:bottom w:val="single" w:sz="8" w:space="0" w:color="9CC2E5"/>
                  <w:right w:val="single" w:sz="8" w:space="0" w:color="9CC2E5"/>
                </w:tcBorders>
                <w:shd w:val="clear" w:color="000000" w:fill="1F4E79"/>
                <w:vAlign w:val="center"/>
                <w:hideMark/>
              </w:tcPr>
              <w:p w14:paraId="26897B8C" w14:textId="77777777" w:rsidR="0066099B" w:rsidRPr="003E2A2A" w:rsidRDefault="0066099B" w:rsidP="002524BC">
                <w:pPr>
                  <w:jc w:val="center"/>
                  <w:rPr>
                    <w:rFonts w:asciiTheme="minorHAnsi" w:hAnsiTheme="minorHAnsi"/>
                    <w:b/>
                    <w:bCs/>
                    <w:color w:val="FFFFFF"/>
                    <w:sz w:val="20"/>
                    <w:szCs w:val="20"/>
                    <w:lang w:val="en-IE" w:eastAsia="en-IE"/>
                  </w:rPr>
                </w:pPr>
                <w:r w:rsidRPr="003E2A2A">
                  <w:rPr>
                    <w:rFonts w:asciiTheme="minorHAnsi" w:hAnsiTheme="minorHAnsi"/>
                    <w:b/>
                    <w:bCs/>
                    <w:color w:val="FFFFFF"/>
                    <w:sz w:val="20"/>
                    <w:szCs w:val="20"/>
                    <w:lang w:eastAsia="en-IE"/>
                  </w:rPr>
                  <w:t> </w:t>
                </w:r>
              </w:p>
            </w:tc>
          </w:tr>
          <w:bookmarkEnd w:id="20"/>
        </w:tbl>
        <w:p w14:paraId="6A927B54" w14:textId="77777777" w:rsidR="0066099B" w:rsidRPr="00D46C12" w:rsidRDefault="0066099B" w:rsidP="002900E1">
          <w:pPr>
            <w:spacing w:after="0"/>
            <w:jc w:val="both"/>
            <w:rPr>
              <w:highlight w:val="yellow"/>
              <w:lang w:val="en-IE"/>
            </w:rPr>
          </w:pPr>
        </w:p>
        <w:p w14:paraId="798F0515" w14:textId="77777777" w:rsidR="00B55209" w:rsidRPr="00434092" w:rsidRDefault="00B55209" w:rsidP="00B55209">
          <w:pPr>
            <w:rPr>
              <w:rFonts w:asciiTheme="minorHAnsi" w:hAnsiTheme="minorHAnsi" w:cstheme="minorHAnsi"/>
            </w:rPr>
          </w:pPr>
          <w:r w:rsidRPr="00434092">
            <w:rPr>
              <w:rFonts w:asciiTheme="minorHAnsi" w:hAnsiTheme="minorHAnsi" w:cstheme="minorHAnsi"/>
            </w:rPr>
            <w:t xml:space="preserve">The following formula will be applied to the cost score: </w:t>
          </w:r>
        </w:p>
        <w:p w14:paraId="7EC2F734" w14:textId="77777777" w:rsidR="00B55209" w:rsidRPr="00434092" w:rsidRDefault="00B55209" w:rsidP="00B55209">
          <w:pPr>
            <w:ind w:right="43"/>
            <w:rPr>
              <w:rFonts w:asciiTheme="minorHAnsi" w:eastAsiaTheme="minorEastAsia" w:hAnsiTheme="minorHAnsi" w:cstheme="minorHAnsi"/>
              <w:lang w:val="en-US" w:eastAsia="ja-JP"/>
            </w:rPr>
          </w:pPr>
          <w:r w:rsidRPr="00434092">
            <w:rPr>
              <w:rFonts w:asciiTheme="minorHAnsi" w:eastAsiaTheme="minorEastAsia" w:hAnsiTheme="minorHAnsi" w:cstheme="minorHAnsi"/>
              <w:lang w:val="en-US" w:eastAsia="ja-JP"/>
            </w:rPr>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1"/>
            <w:tblpPr w:leftFromText="180" w:rightFromText="180" w:vertAnchor="text" w:horzAnchor="margin" w:tblpXSpec="center" w:tblpY="131"/>
            <w:tblW w:w="75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5954"/>
            <w:gridCol w:w="1564"/>
          </w:tblGrid>
          <w:tr w:rsidR="00B55209" w:rsidRPr="00846B52" w14:paraId="1EE1E6A6" w14:textId="77777777" w:rsidTr="002524BC">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DEEAF6" w:themeFill="accent1" w:themeFillTint="33"/>
                <w:noWrap/>
              </w:tcPr>
              <w:p w14:paraId="18927A68" w14:textId="77777777" w:rsidR="00B55209" w:rsidRPr="00434092" w:rsidRDefault="00B55209" w:rsidP="002524BC">
                <w:pPr>
                  <w:rPr>
                    <w:rFonts w:asciiTheme="minorHAnsi" w:hAnsiTheme="minorHAnsi" w:cstheme="minorHAnsi"/>
                    <w:lang w:eastAsia="en-GB"/>
                  </w:rPr>
                </w:pPr>
                <w:r w:rsidRPr="00434092">
                  <w:rPr>
                    <w:rFonts w:asciiTheme="minorHAnsi" w:hAnsiTheme="minorHAnsi" w:cstheme="minorHAnsi"/>
                    <w:color w:val="auto"/>
                    <w:lang w:eastAsia="en-GB"/>
                  </w:rPr>
                  <w:t xml:space="preserve">Lowest </w:t>
                </w:r>
                <w:r w:rsidRPr="00434092">
                  <w:rPr>
                    <w:rFonts w:asciiTheme="minorHAnsi" w:hAnsiTheme="minorHAnsi" w:cstheme="minorHAnsi"/>
                    <w:color w:val="auto"/>
                  </w:rPr>
                  <w:t>Cost (</w:t>
                </w:r>
                <w:r w:rsidRPr="00434092">
                  <w:rPr>
                    <w:rFonts w:asciiTheme="minorHAnsi" w:hAnsiTheme="minorHAnsi" w:cstheme="minorHAnsi"/>
                    <w:color w:val="auto"/>
                    <w:lang w:eastAsia="en-GB"/>
                  </w:rPr>
                  <w:t>tendered lump sum based on pricing schedule) from a Bona Fide Tender</w:t>
                </w:r>
              </w:p>
            </w:tc>
            <w:tc>
              <w:tcPr>
                <w:cnfStyle w:val="000010000000" w:firstRow="0" w:lastRow="0" w:firstColumn="0" w:lastColumn="0" w:oddVBand="1" w:evenVBand="0" w:oddHBand="0" w:evenHBand="0" w:firstRowFirstColumn="0" w:firstRowLastColumn="0" w:lastRowFirstColumn="0" w:lastRowLastColumn="0"/>
                <w:tcW w:w="1564" w:type="dxa"/>
                <w:tcBorders>
                  <w:top w:val="none" w:sz="0" w:space="0" w:color="auto"/>
                  <w:left w:val="none" w:sz="0" w:space="0" w:color="auto"/>
                  <w:bottom w:val="none" w:sz="0" w:space="0" w:color="auto"/>
                  <w:right w:val="none" w:sz="0" w:space="0" w:color="auto"/>
                </w:tcBorders>
                <w:shd w:val="clear" w:color="auto" w:fill="auto"/>
                <w:noWrap/>
              </w:tcPr>
              <w:p w14:paraId="466EACA4" w14:textId="77777777" w:rsidR="00B55209" w:rsidRPr="00434092" w:rsidRDefault="00B55209" w:rsidP="002524BC">
                <w:pPr>
                  <w:rPr>
                    <w:rFonts w:asciiTheme="minorHAnsi" w:hAnsiTheme="minorHAnsi" w:cstheme="minorHAnsi"/>
                    <w:color w:val="000000"/>
                    <w:lang w:eastAsia="en-GB"/>
                  </w:rPr>
                </w:pPr>
                <w:r w:rsidRPr="00434092">
                  <w:rPr>
                    <w:rFonts w:asciiTheme="minorHAnsi" w:hAnsiTheme="minorHAnsi" w:cstheme="minorHAnsi"/>
                    <w:color w:val="000000"/>
                    <w:lang w:eastAsia="en-GB"/>
                  </w:rPr>
                  <w:t>A</w:t>
                </w:r>
              </w:p>
            </w:tc>
          </w:tr>
          <w:tr w:rsidR="00B55209" w:rsidRPr="00846B52" w14:paraId="5C1BCB30" w14:textId="77777777" w:rsidTr="002524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noWrap/>
              </w:tcPr>
              <w:p w14:paraId="5B5A2454" w14:textId="77777777" w:rsidR="00B55209" w:rsidRPr="00434092" w:rsidRDefault="00B55209"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 xml:space="preserve">Cost </w:t>
                </w:r>
                <w:r w:rsidRPr="00434092">
                  <w:rPr>
                    <w:rFonts w:asciiTheme="minorHAnsi" w:hAnsiTheme="minorHAnsi" w:cstheme="minorHAnsi"/>
                  </w:rPr>
                  <w:t>(</w:t>
                </w:r>
                <w:r w:rsidRPr="00434092">
                  <w:rPr>
                    <w:rFonts w:asciiTheme="minorHAnsi" w:hAnsiTheme="minorHAnsi" w:cstheme="minorHAnsi"/>
                    <w:lang w:eastAsia="en-GB"/>
                  </w:rPr>
                  <w:t xml:space="preserve">tendered lump sum) </w:t>
                </w:r>
                <w:r w:rsidRPr="00434092">
                  <w:rPr>
                    <w:rFonts w:asciiTheme="minorHAnsi" w:hAnsiTheme="minorHAnsi" w:cstheme="minorHAnsi"/>
                    <w:color w:val="000000" w:themeColor="text1"/>
                    <w:lang w:eastAsia="en-GB"/>
                  </w:rPr>
                  <w:t>for the tender being evaluated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2C3082EF" w14:textId="77777777" w:rsidR="00B55209" w:rsidRPr="00434092" w:rsidRDefault="00B55209" w:rsidP="002524BC">
                <w:pPr>
                  <w:rPr>
                    <w:rFonts w:asciiTheme="minorHAnsi" w:hAnsiTheme="minorHAnsi" w:cstheme="minorHAnsi"/>
                    <w:b/>
                    <w:color w:val="000000"/>
                    <w:lang w:eastAsia="en-GB"/>
                  </w:rPr>
                </w:pPr>
                <w:r w:rsidRPr="00434092">
                  <w:rPr>
                    <w:rFonts w:asciiTheme="minorHAnsi" w:hAnsiTheme="minorHAnsi" w:cstheme="minorHAnsi"/>
                    <w:b/>
                    <w:color w:val="000000"/>
                    <w:lang w:eastAsia="en-GB"/>
                  </w:rPr>
                  <w:t>B</w:t>
                </w:r>
              </w:p>
            </w:tc>
          </w:tr>
          <w:tr w:rsidR="00B55209" w:rsidRPr="00846B52" w14:paraId="7C20FDFA" w14:textId="77777777" w:rsidTr="002524BC">
            <w:trPr>
              <w:trHeight w:val="348"/>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noWrap/>
              </w:tcPr>
              <w:p w14:paraId="314ECB67" w14:textId="77777777" w:rsidR="00B55209" w:rsidRPr="00434092" w:rsidRDefault="00B55209"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36DDF587" w14:textId="77777777" w:rsidR="00B55209" w:rsidRPr="00DD13A0" w:rsidRDefault="00B55209" w:rsidP="002524BC">
                <w:pPr>
                  <w:rPr>
                    <w:rFonts w:asciiTheme="minorHAnsi" w:hAnsiTheme="minorHAnsi" w:cstheme="minorHAnsi"/>
                    <w:lang w:eastAsia="en-GB"/>
                  </w:rPr>
                </w:pPr>
                <w:r w:rsidRPr="00DD13A0">
                  <w:rPr>
                    <w:rFonts w:asciiTheme="minorHAnsi" w:hAnsiTheme="minorHAnsi" w:cstheme="minorHAnsi"/>
                    <w:lang w:eastAsia="en-GB"/>
                  </w:rPr>
                  <w:t>3</w:t>
                </w:r>
                <w:r>
                  <w:rPr>
                    <w:rFonts w:asciiTheme="minorHAnsi" w:hAnsiTheme="minorHAnsi" w:cstheme="minorHAnsi"/>
                    <w:lang w:eastAsia="en-GB"/>
                  </w:rPr>
                  <w:t>0</w:t>
                </w:r>
                <w:r w:rsidRPr="00DD13A0">
                  <w:rPr>
                    <w:rFonts w:asciiTheme="minorHAnsi" w:hAnsiTheme="minorHAnsi" w:cstheme="minorHAnsi"/>
                    <w:lang w:eastAsia="en-GB"/>
                  </w:rPr>
                  <w:t>00*</w:t>
                </w:r>
              </w:p>
            </w:tc>
          </w:tr>
          <w:tr w:rsidR="00B55209" w:rsidRPr="00846B52" w14:paraId="211C2834" w14:textId="77777777" w:rsidTr="002524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tcPr>
              <w:p w14:paraId="18BC5A08" w14:textId="77777777" w:rsidR="00B55209" w:rsidRPr="00434092" w:rsidRDefault="00B55209"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tcPr>
              <w:p w14:paraId="0CD6A247" w14:textId="77777777" w:rsidR="00B55209" w:rsidRPr="00DD13A0" w:rsidRDefault="00B55209" w:rsidP="002524BC">
                <w:pPr>
                  <w:rPr>
                    <w:rFonts w:asciiTheme="minorHAnsi" w:hAnsiTheme="minorHAnsi" w:cstheme="minorHAnsi"/>
                    <w:u w:val="single"/>
                    <w:lang w:eastAsia="en-GB"/>
                  </w:rPr>
                </w:pPr>
                <w:r w:rsidRPr="00DD13A0">
                  <w:rPr>
                    <w:rFonts w:asciiTheme="minorHAnsi" w:hAnsiTheme="minorHAnsi" w:cstheme="minorHAnsi"/>
                    <w:u w:val="single"/>
                    <w:lang w:eastAsia="en-GB"/>
                  </w:rPr>
                  <w:t>3</w:t>
                </w:r>
                <w:r>
                  <w:rPr>
                    <w:rFonts w:asciiTheme="minorHAnsi" w:hAnsiTheme="minorHAnsi" w:cstheme="minorHAnsi"/>
                    <w:u w:val="single"/>
                    <w:lang w:eastAsia="en-GB"/>
                  </w:rPr>
                  <w:t>0</w:t>
                </w:r>
                <w:r w:rsidRPr="00DD13A0">
                  <w:rPr>
                    <w:rFonts w:asciiTheme="minorHAnsi" w:hAnsiTheme="minorHAnsi" w:cstheme="minorHAnsi"/>
                    <w:u w:val="single"/>
                    <w:lang w:eastAsia="en-GB"/>
                  </w:rPr>
                  <w:t xml:space="preserve">00* x </w:t>
                </w:r>
                <w:r w:rsidRPr="00DD13A0">
                  <w:rPr>
                    <w:rFonts w:asciiTheme="minorHAnsi" w:hAnsiTheme="minorHAnsi" w:cstheme="minorHAnsi"/>
                    <w:b/>
                    <w:u w:val="single"/>
                    <w:lang w:eastAsia="en-GB"/>
                  </w:rPr>
                  <w:t>A</w:t>
                </w:r>
                <w:r w:rsidRPr="00DD13A0">
                  <w:rPr>
                    <w:rFonts w:asciiTheme="minorHAnsi" w:hAnsiTheme="minorHAnsi" w:cstheme="minorHAnsi"/>
                    <w:lang w:eastAsia="en-GB"/>
                  </w:rPr>
                  <w:br/>
                  <w:t xml:space="preserve"> </w:t>
                </w:r>
                <w:r w:rsidRPr="00DD13A0">
                  <w:rPr>
                    <w:rFonts w:asciiTheme="minorHAnsi" w:hAnsiTheme="minorHAnsi" w:cstheme="minorHAnsi"/>
                    <w:b/>
                    <w:lang w:eastAsia="en-GB"/>
                  </w:rPr>
                  <w:t>B</w:t>
                </w:r>
              </w:p>
            </w:tc>
          </w:tr>
        </w:tbl>
        <w:p w14:paraId="503F2563" w14:textId="77777777" w:rsidR="00B55209" w:rsidRDefault="00B55209" w:rsidP="00B55209"/>
        <w:p w14:paraId="218A2048" w14:textId="77777777" w:rsidR="00B55209" w:rsidRDefault="00B55209" w:rsidP="00B55209"/>
        <w:p w14:paraId="4B05316A" w14:textId="77777777" w:rsidR="00B55209" w:rsidRDefault="00B55209" w:rsidP="00B55209"/>
        <w:p w14:paraId="21457F62" w14:textId="77777777" w:rsidR="00B55209" w:rsidRDefault="00B55209" w:rsidP="00B55209"/>
        <w:p w14:paraId="02349E35" w14:textId="77777777" w:rsidR="00B55209" w:rsidRDefault="00B55209" w:rsidP="00B55209"/>
        <w:p w14:paraId="37A6154C" w14:textId="77777777" w:rsidR="00B55209" w:rsidRDefault="00B55209" w:rsidP="00B55209"/>
        <w:p w14:paraId="798BC75F" w14:textId="77777777" w:rsidR="00B55209" w:rsidRDefault="00B55209" w:rsidP="00B55209"/>
        <w:sdt>
          <w:sdtPr>
            <w:id w:val="1755474806"/>
            <w:placeholder>
              <w:docPart w:val="DF46A91D7C5749F490DCF580AB3DA0B7"/>
            </w:placeholder>
          </w:sdtPr>
          <w:sdtEndPr/>
          <w:sdtContent>
            <w:bookmarkStart w:id="21" w:name="_Hlk207792698" w:displacedByCustomXml="next"/>
            <w:sdt>
              <w:sdtPr>
                <w:id w:val="-181055553"/>
                <w:placeholder>
                  <w:docPart w:val="3F434936992A469F9355C47F7A0A43AD"/>
                </w:placeholder>
              </w:sdtPr>
              <w:sdtEndPr/>
              <w:sdtContent>
                <w:p w14:paraId="78950A50" w14:textId="77777777" w:rsidR="00854392" w:rsidRPr="003E2A2A" w:rsidRDefault="00854392" w:rsidP="00854392">
                  <w:pPr>
                    <w:pStyle w:val="ListParagraph"/>
                    <w:spacing w:line="360" w:lineRule="auto"/>
                    <w:jc w:val="both"/>
                    <w:rPr>
                      <w:rFonts w:asciiTheme="minorHAnsi" w:hAnsiTheme="minorHAnsi"/>
                      <w:b/>
                      <w:color w:val="000000"/>
                      <w:szCs w:val="22"/>
                      <w:lang w:val="en-IE" w:eastAsia="en-IE"/>
                    </w:rPr>
                  </w:pPr>
                  <w:r w:rsidRPr="003E2A2A">
                    <w:rPr>
                      <w:rFonts w:asciiTheme="minorHAnsi" w:hAnsiTheme="minorHAnsi"/>
                      <w:b/>
                      <w:color w:val="000000"/>
                      <w:szCs w:val="22"/>
                      <w:lang w:val="en-IE" w:eastAsia="en-IE"/>
                    </w:rPr>
                    <w:t>Table 3.3.1A Firewall replacements, content filtering, advanced services</w:t>
                  </w:r>
                  <w:r>
                    <w:rPr>
                      <w:rFonts w:asciiTheme="minorHAnsi" w:hAnsiTheme="minorHAnsi"/>
                      <w:b/>
                      <w:color w:val="000000"/>
                      <w:szCs w:val="22"/>
                      <w:lang w:val="en-IE" w:eastAsia="en-IE"/>
                    </w:rPr>
                    <w:t>, SASE</w:t>
                  </w:r>
                  <w:r w:rsidRPr="003E2A2A">
                    <w:rPr>
                      <w:rFonts w:asciiTheme="minorHAnsi" w:hAnsiTheme="minorHAnsi"/>
                      <w:b/>
                      <w:color w:val="000000"/>
                      <w:szCs w:val="22"/>
                      <w:lang w:val="en-IE" w:eastAsia="en-IE"/>
                    </w:rPr>
                    <w:t xml:space="preserve"> and management and support</w:t>
                  </w:r>
                </w:p>
                <w:bookmarkEnd w:id="21"/>
                <w:p w14:paraId="4E2BD782" w14:textId="77777777" w:rsidR="00854392" w:rsidRDefault="00854392" w:rsidP="00854392"/>
                <w:p w14:paraId="02F77218" w14:textId="77777777" w:rsidR="00854392" w:rsidRPr="00A20C66" w:rsidRDefault="00854392" w:rsidP="00854392">
                  <w:pPr>
                    <w:rPr>
                      <w:b/>
                      <w:bCs/>
                    </w:rPr>
                  </w:pPr>
                  <w:r>
                    <w:rPr>
                      <w:b/>
                      <w:bCs/>
                    </w:rPr>
                    <w:t xml:space="preserve">RULE: </w:t>
                  </w:r>
                  <w:r w:rsidRPr="00A20C66">
                    <w:rPr>
                      <w:b/>
                      <w:bCs/>
                    </w:rPr>
                    <w:t>Tenderers must provide their written statements to criterion listed above on no more than six (6) A4 single sided pages typed with a minimum of 10-point font and single line spacing</w:t>
                  </w:r>
                  <w:r>
                    <w:rPr>
                      <w:b/>
                      <w:bCs/>
                    </w:rPr>
                    <w:t>, per criteria.</w:t>
                  </w:r>
                </w:p>
                <w:p w14:paraId="69E0AA5B" w14:textId="77777777" w:rsidR="00854392" w:rsidRPr="00A20C66" w:rsidRDefault="00854392" w:rsidP="00854392">
                  <w:pPr>
                    <w:rPr>
                      <w:b/>
                      <w:bCs/>
                    </w:rPr>
                  </w:pPr>
                  <w:r w:rsidRPr="00A20C66">
                    <w:rPr>
                      <w:b/>
                      <w:bCs/>
                    </w:rPr>
                    <w:t xml:space="preserve">If more than six (6) pages of written statements are submitted only the first 6 pages of the statement will be read and scored accordingly.  The remaining pages will be disregarded.  </w:t>
                  </w:r>
                  <w:r>
                    <w:rPr>
                      <w:b/>
                      <w:bCs/>
                    </w:rPr>
                    <w:t>Be aware that no other supplementary documentation over and above agreed appendices and page counts will be read/scored.</w:t>
                  </w:r>
                </w:p>
                <w:p w14:paraId="6AF44245" w14:textId="77777777" w:rsidR="00854392" w:rsidRDefault="00854392" w:rsidP="00854392"/>
                <w:p w14:paraId="379F4069" w14:textId="77777777" w:rsidR="00854392" w:rsidRPr="00434092" w:rsidRDefault="00854392" w:rsidP="00854392">
                  <w:pPr>
                    <w:adjustRightInd w:val="0"/>
                    <w:rPr>
                      <w:rFonts w:asciiTheme="minorHAnsi" w:hAnsiTheme="minorHAnsi" w:cstheme="minorHAnsi"/>
                      <w:b/>
                      <w:color w:val="000000"/>
                      <w:lang w:val="en-IE" w:eastAsia="en-IE"/>
                    </w:rPr>
                  </w:pPr>
                  <w:r w:rsidRPr="00434092">
                    <w:rPr>
                      <w:rFonts w:asciiTheme="minorHAnsi" w:hAnsiTheme="minorHAnsi" w:cstheme="minorHAnsi"/>
                      <w:b/>
                      <w:color w:val="000000"/>
                      <w:lang w:val="en-IE" w:eastAsia="en-IE"/>
                    </w:rPr>
                    <w:t>Explanation of Scoring</w:t>
                  </w:r>
                </w:p>
                <w:p w14:paraId="7376D2FC" w14:textId="77777777" w:rsidR="00854392" w:rsidRPr="00434092" w:rsidRDefault="00854392" w:rsidP="00854392">
                  <w:pPr>
                    <w:keepNext/>
                    <w:pBdr>
                      <w:bottom w:val="single" w:sz="12" w:space="1" w:color="333399"/>
                    </w:pBdr>
                    <w:shd w:val="clear" w:color="auto" w:fill="000080"/>
                    <w:tabs>
                      <w:tab w:val="left" w:pos="567"/>
                      <w:tab w:val="left" w:pos="907"/>
                      <w:tab w:val="left" w:pos="1134"/>
                    </w:tabs>
                    <w:spacing w:before="240" w:after="80"/>
                    <w:ind w:firstLine="57"/>
                    <w:outlineLvl w:val="1"/>
                    <w:rPr>
                      <w:rFonts w:asciiTheme="minorHAnsi" w:hAnsiTheme="minorHAnsi" w:cstheme="minorHAnsi"/>
                      <w:b/>
                      <w:caps/>
                      <w:color w:val="FFFFFF"/>
                    </w:rPr>
                  </w:pPr>
                  <w:bookmarkStart w:id="22" w:name="_Toc523750380"/>
                  <w:r w:rsidRPr="00434092">
                    <w:rPr>
                      <w:rFonts w:asciiTheme="minorHAnsi" w:hAnsiTheme="minorHAnsi" w:cstheme="minorHAnsi"/>
                      <w:b/>
                      <w:caps/>
                      <w:color w:val="FFFFFF"/>
                    </w:rPr>
                    <w:t>Methodology for Calculating the Cost Score</w:t>
                  </w:r>
                  <w:bookmarkEnd w:id="22"/>
                </w:p>
                <w:p w14:paraId="3088FB65" w14:textId="77777777" w:rsidR="00854392" w:rsidRPr="00434092" w:rsidRDefault="00854392" w:rsidP="00854392">
                  <w:pPr>
                    <w:rPr>
                      <w:rFonts w:asciiTheme="minorHAnsi" w:hAnsiTheme="minorHAnsi" w:cstheme="minorHAnsi"/>
                    </w:rPr>
                  </w:pPr>
                  <w:r w:rsidRPr="00434092">
                    <w:rPr>
                      <w:rFonts w:asciiTheme="minorHAnsi" w:hAnsiTheme="minorHAnsi" w:cstheme="minorHAnsi"/>
                    </w:rPr>
                    <w:t xml:space="preserve">The following formula will be applied to the cost score: </w:t>
                  </w:r>
                </w:p>
                <w:p w14:paraId="12211042" w14:textId="77777777" w:rsidR="00854392" w:rsidRPr="00434092" w:rsidRDefault="00854392" w:rsidP="00854392">
                  <w:pPr>
                    <w:ind w:right="43"/>
                    <w:rPr>
                      <w:rFonts w:asciiTheme="minorHAnsi" w:eastAsiaTheme="minorEastAsia" w:hAnsiTheme="minorHAnsi" w:cstheme="minorHAnsi"/>
                      <w:lang w:val="en-US" w:eastAsia="ja-JP"/>
                    </w:rPr>
                  </w:pPr>
                  <w:r w:rsidRPr="00434092">
                    <w:rPr>
                      <w:rFonts w:asciiTheme="minorHAnsi" w:eastAsiaTheme="minorEastAsia" w:hAnsiTheme="minorHAnsi" w:cstheme="minorHAnsi"/>
                      <w:lang w:val="en-US" w:eastAsia="ja-JP"/>
                    </w:rPr>
                    <w:lastRenderedPageBreak/>
                    <w:t>The lowest cost tender that also meets all the minimum requirements of the qualitative award criteria will receive the maximum score achievable under this criterion.  The scores of the other valid tenders will be calculated using the following formula:</w:t>
                  </w:r>
                </w:p>
                <w:tbl>
                  <w:tblPr>
                    <w:tblStyle w:val="GridTable41"/>
                    <w:tblpPr w:leftFromText="180" w:rightFromText="180" w:vertAnchor="text" w:horzAnchor="margin" w:tblpXSpec="center" w:tblpY="131"/>
                    <w:tblW w:w="751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5954"/>
                    <w:gridCol w:w="1564"/>
                  </w:tblGrid>
                  <w:tr w:rsidR="00854392" w:rsidRPr="00846B52" w14:paraId="2B6B4B73" w14:textId="77777777" w:rsidTr="002524BC">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DEEAF6" w:themeFill="accent1" w:themeFillTint="33"/>
                        <w:noWrap/>
                      </w:tcPr>
                      <w:p w14:paraId="19798128" w14:textId="77777777" w:rsidR="00854392" w:rsidRPr="00434092" w:rsidRDefault="00854392" w:rsidP="002524BC">
                        <w:pPr>
                          <w:rPr>
                            <w:rFonts w:asciiTheme="minorHAnsi" w:hAnsiTheme="minorHAnsi" w:cstheme="minorHAnsi"/>
                            <w:lang w:eastAsia="en-GB"/>
                          </w:rPr>
                        </w:pPr>
                        <w:r w:rsidRPr="00434092">
                          <w:rPr>
                            <w:rFonts w:asciiTheme="minorHAnsi" w:hAnsiTheme="minorHAnsi" w:cstheme="minorHAnsi"/>
                            <w:color w:val="auto"/>
                            <w:lang w:eastAsia="en-GB"/>
                          </w:rPr>
                          <w:t xml:space="preserve">Lowest </w:t>
                        </w:r>
                        <w:r w:rsidRPr="00434092">
                          <w:rPr>
                            <w:rFonts w:asciiTheme="minorHAnsi" w:hAnsiTheme="minorHAnsi" w:cstheme="minorHAnsi"/>
                            <w:color w:val="auto"/>
                          </w:rPr>
                          <w:t>Cost (</w:t>
                        </w:r>
                        <w:r w:rsidRPr="00434092">
                          <w:rPr>
                            <w:rFonts w:asciiTheme="minorHAnsi" w:hAnsiTheme="minorHAnsi" w:cstheme="minorHAnsi"/>
                            <w:color w:val="auto"/>
                            <w:lang w:eastAsia="en-GB"/>
                          </w:rPr>
                          <w:t>tendered lump sum based on pricing schedule) from a Bona Fide Tender</w:t>
                        </w:r>
                      </w:p>
                    </w:tc>
                    <w:tc>
                      <w:tcPr>
                        <w:cnfStyle w:val="000010000000" w:firstRow="0" w:lastRow="0" w:firstColumn="0" w:lastColumn="0" w:oddVBand="1" w:evenVBand="0" w:oddHBand="0" w:evenHBand="0" w:firstRowFirstColumn="0" w:firstRowLastColumn="0" w:lastRowFirstColumn="0" w:lastRowLastColumn="0"/>
                        <w:tcW w:w="1564" w:type="dxa"/>
                        <w:tcBorders>
                          <w:top w:val="none" w:sz="0" w:space="0" w:color="auto"/>
                          <w:left w:val="none" w:sz="0" w:space="0" w:color="auto"/>
                          <w:bottom w:val="none" w:sz="0" w:space="0" w:color="auto"/>
                          <w:right w:val="none" w:sz="0" w:space="0" w:color="auto"/>
                        </w:tcBorders>
                        <w:shd w:val="clear" w:color="auto" w:fill="auto"/>
                        <w:noWrap/>
                      </w:tcPr>
                      <w:p w14:paraId="655C9274" w14:textId="77777777" w:rsidR="00854392" w:rsidRPr="00434092" w:rsidRDefault="00854392" w:rsidP="002524BC">
                        <w:pPr>
                          <w:rPr>
                            <w:rFonts w:asciiTheme="minorHAnsi" w:hAnsiTheme="minorHAnsi" w:cstheme="minorHAnsi"/>
                            <w:color w:val="000000"/>
                            <w:lang w:eastAsia="en-GB"/>
                          </w:rPr>
                        </w:pPr>
                        <w:r w:rsidRPr="00434092">
                          <w:rPr>
                            <w:rFonts w:asciiTheme="minorHAnsi" w:hAnsiTheme="minorHAnsi" w:cstheme="minorHAnsi"/>
                            <w:color w:val="000000"/>
                            <w:lang w:eastAsia="en-GB"/>
                          </w:rPr>
                          <w:t>A</w:t>
                        </w:r>
                      </w:p>
                    </w:tc>
                  </w:tr>
                  <w:tr w:rsidR="00854392" w:rsidRPr="00846B52" w14:paraId="6095904E" w14:textId="77777777" w:rsidTr="002524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noWrap/>
                      </w:tcPr>
                      <w:p w14:paraId="4E3A566A" w14:textId="77777777" w:rsidR="00854392" w:rsidRPr="00434092" w:rsidRDefault="00854392"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 xml:space="preserve">Cost </w:t>
                        </w:r>
                        <w:r w:rsidRPr="00434092">
                          <w:rPr>
                            <w:rFonts w:asciiTheme="minorHAnsi" w:hAnsiTheme="minorHAnsi" w:cstheme="minorHAnsi"/>
                          </w:rPr>
                          <w:t>(</w:t>
                        </w:r>
                        <w:r w:rsidRPr="00434092">
                          <w:rPr>
                            <w:rFonts w:asciiTheme="minorHAnsi" w:hAnsiTheme="minorHAnsi" w:cstheme="minorHAnsi"/>
                            <w:lang w:eastAsia="en-GB"/>
                          </w:rPr>
                          <w:t xml:space="preserve">tendered lump sum) </w:t>
                        </w:r>
                        <w:r w:rsidRPr="00434092">
                          <w:rPr>
                            <w:rFonts w:asciiTheme="minorHAnsi" w:hAnsiTheme="minorHAnsi" w:cstheme="minorHAnsi"/>
                            <w:color w:val="000000" w:themeColor="text1"/>
                            <w:lang w:eastAsia="en-GB"/>
                          </w:rPr>
                          <w:t>for the tender being evaluated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2F11FFF8" w14:textId="77777777" w:rsidR="00854392" w:rsidRPr="00434092" w:rsidRDefault="00854392" w:rsidP="002524BC">
                        <w:pPr>
                          <w:rPr>
                            <w:rFonts w:asciiTheme="minorHAnsi" w:hAnsiTheme="minorHAnsi" w:cstheme="minorHAnsi"/>
                            <w:b/>
                            <w:color w:val="000000"/>
                            <w:lang w:eastAsia="en-GB"/>
                          </w:rPr>
                        </w:pPr>
                        <w:r w:rsidRPr="00434092">
                          <w:rPr>
                            <w:rFonts w:asciiTheme="minorHAnsi" w:hAnsiTheme="minorHAnsi" w:cstheme="minorHAnsi"/>
                            <w:b/>
                            <w:color w:val="000000"/>
                            <w:lang w:eastAsia="en-GB"/>
                          </w:rPr>
                          <w:t>B</w:t>
                        </w:r>
                      </w:p>
                    </w:tc>
                  </w:tr>
                  <w:tr w:rsidR="00854392" w:rsidRPr="00846B52" w14:paraId="0A7A9909" w14:textId="77777777" w:rsidTr="002524BC">
                    <w:trPr>
                      <w:trHeight w:val="348"/>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noWrap/>
                      </w:tcPr>
                      <w:p w14:paraId="64CDD78D" w14:textId="77777777" w:rsidR="00854392" w:rsidRPr="00434092" w:rsidRDefault="00854392"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Maximum Points available for Cost</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noWrap/>
                      </w:tcPr>
                      <w:p w14:paraId="47D3268C" w14:textId="77777777" w:rsidR="00854392" w:rsidRPr="00DD13A0" w:rsidRDefault="00854392" w:rsidP="002524BC">
                        <w:pPr>
                          <w:rPr>
                            <w:rFonts w:asciiTheme="minorHAnsi" w:hAnsiTheme="minorHAnsi" w:cstheme="minorHAnsi"/>
                            <w:lang w:eastAsia="en-GB"/>
                          </w:rPr>
                        </w:pPr>
                        <w:r w:rsidRPr="00DD13A0">
                          <w:rPr>
                            <w:rFonts w:asciiTheme="minorHAnsi" w:hAnsiTheme="minorHAnsi" w:cstheme="minorHAnsi"/>
                            <w:lang w:eastAsia="en-GB"/>
                          </w:rPr>
                          <w:t>3</w:t>
                        </w:r>
                        <w:r>
                          <w:rPr>
                            <w:rFonts w:asciiTheme="minorHAnsi" w:hAnsiTheme="minorHAnsi" w:cstheme="minorHAnsi"/>
                            <w:lang w:eastAsia="en-GB"/>
                          </w:rPr>
                          <w:t>0</w:t>
                        </w:r>
                        <w:r w:rsidRPr="00DD13A0">
                          <w:rPr>
                            <w:rFonts w:asciiTheme="minorHAnsi" w:hAnsiTheme="minorHAnsi" w:cstheme="minorHAnsi"/>
                            <w:lang w:eastAsia="en-GB"/>
                          </w:rPr>
                          <w:t>00*</w:t>
                        </w:r>
                      </w:p>
                    </w:tc>
                  </w:tr>
                  <w:tr w:rsidR="00854392" w:rsidRPr="00846B52" w14:paraId="2DC2D6F1" w14:textId="77777777" w:rsidTr="002524B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954" w:type="dxa"/>
                        <w:shd w:val="clear" w:color="auto" w:fill="DEEAF6" w:themeFill="accent1" w:themeFillTint="33"/>
                      </w:tcPr>
                      <w:p w14:paraId="1C4DAF62" w14:textId="77777777" w:rsidR="00854392" w:rsidRPr="00434092" w:rsidRDefault="00854392" w:rsidP="002524BC">
                        <w:pPr>
                          <w:rPr>
                            <w:rFonts w:asciiTheme="minorHAnsi" w:hAnsiTheme="minorHAnsi" w:cstheme="minorHAnsi"/>
                            <w:color w:val="000000" w:themeColor="text1"/>
                            <w:lang w:eastAsia="en-GB"/>
                          </w:rPr>
                        </w:pPr>
                        <w:r w:rsidRPr="00434092">
                          <w:rPr>
                            <w:rFonts w:asciiTheme="minorHAnsi" w:hAnsiTheme="minorHAnsi" w:cstheme="minorHAnsi"/>
                            <w:color w:val="000000" w:themeColor="text1"/>
                            <w:lang w:eastAsia="en-GB"/>
                          </w:rPr>
                          <w:t>Formula employed</w:t>
                        </w:r>
                      </w:p>
                    </w:tc>
                    <w:tc>
                      <w:tcPr>
                        <w:cnfStyle w:val="000010000000" w:firstRow="0" w:lastRow="0" w:firstColumn="0" w:lastColumn="0" w:oddVBand="1" w:evenVBand="0" w:oddHBand="0" w:evenHBand="0" w:firstRowFirstColumn="0" w:firstRowLastColumn="0" w:lastRowFirstColumn="0" w:lastRowLastColumn="0"/>
                        <w:tcW w:w="1564" w:type="dxa"/>
                        <w:shd w:val="clear" w:color="auto" w:fill="auto"/>
                      </w:tcPr>
                      <w:p w14:paraId="6B4E1685" w14:textId="77777777" w:rsidR="00854392" w:rsidRPr="00DD13A0" w:rsidRDefault="00854392" w:rsidP="002524BC">
                        <w:pPr>
                          <w:rPr>
                            <w:rFonts w:asciiTheme="minorHAnsi" w:hAnsiTheme="minorHAnsi" w:cstheme="minorHAnsi"/>
                            <w:u w:val="single"/>
                            <w:lang w:eastAsia="en-GB"/>
                          </w:rPr>
                        </w:pPr>
                        <w:r w:rsidRPr="00DD13A0">
                          <w:rPr>
                            <w:rFonts w:asciiTheme="minorHAnsi" w:hAnsiTheme="minorHAnsi" w:cstheme="minorHAnsi"/>
                            <w:u w:val="single"/>
                            <w:lang w:eastAsia="en-GB"/>
                          </w:rPr>
                          <w:t>3</w:t>
                        </w:r>
                        <w:r>
                          <w:rPr>
                            <w:rFonts w:asciiTheme="minorHAnsi" w:hAnsiTheme="minorHAnsi" w:cstheme="minorHAnsi"/>
                            <w:u w:val="single"/>
                            <w:lang w:eastAsia="en-GB"/>
                          </w:rPr>
                          <w:t>0</w:t>
                        </w:r>
                        <w:r w:rsidRPr="00DD13A0">
                          <w:rPr>
                            <w:rFonts w:asciiTheme="minorHAnsi" w:hAnsiTheme="minorHAnsi" w:cstheme="minorHAnsi"/>
                            <w:u w:val="single"/>
                            <w:lang w:eastAsia="en-GB"/>
                          </w:rPr>
                          <w:t xml:space="preserve">00* x </w:t>
                        </w:r>
                        <w:r w:rsidRPr="00DD13A0">
                          <w:rPr>
                            <w:rFonts w:asciiTheme="minorHAnsi" w:hAnsiTheme="minorHAnsi" w:cstheme="minorHAnsi"/>
                            <w:b/>
                            <w:u w:val="single"/>
                            <w:lang w:eastAsia="en-GB"/>
                          </w:rPr>
                          <w:t>A</w:t>
                        </w:r>
                        <w:r w:rsidRPr="00DD13A0">
                          <w:rPr>
                            <w:rFonts w:asciiTheme="minorHAnsi" w:hAnsiTheme="minorHAnsi" w:cstheme="minorHAnsi"/>
                            <w:lang w:eastAsia="en-GB"/>
                          </w:rPr>
                          <w:br/>
                          <w:t xml:space="preserve"> </w:t>
                        </w:r>
                        <w:r w:rsidRPr="00DD13A0">
                          <w:rPr>
                            <w:rFonts w:asciiTheme="minorHAnsi" w:hAnsiTheme="minorHAnsi" w:cstheme="minorHAnsi"/>
                            <w:b/>
                            <w:lang w:eastAsia="en-GB"/>
                          </w:rPr>
                          <w:t>B</w:t>
                        </w:r>
                      </w:p>
                    </w:tc>
                  </w:tr>
                </w:tbl>
                <w:p w14:paraId="26BCA150" w14:textId="77777777" w:rsidR="00854392" w:rsidRDefault="00854392" w:rsidP="00854392"/>
                <w:p w14:paraId="2D8531A9" w14:textId="77777777" w:rsidR="00854392" w:rsidRDefault="00854392" w:rsidP="00854392"/>
                <w:p w14:paraId="69CEF1B1" w14:textId="77777777" w:rsidR="00854392" w:rsidRDefault="00854392" w:rsidP="00854392"/>
                <w:p w14:paraId="431AF036" w14:textId="77777777" w:rsidR="00854392" w:rsidRDefault="00854392" w:rsidP="00854392"/>
                <w:p w14:paraId="7B7E2A72" w14:textId="77777777" w:rsidR="00854392" w:rsidRDefault="00854392" w:rsidP="00854392"/>
                <w:p w14:paraId="322F47A8" w14:textId="77777777" w:rsidR="00854392" w:rsidRDefault="00854392" w:rsidP="00854392"/>
                <w:p w14:paraId="5ADCD5C4" w14:textId="77777777" w:rsidR="00854392" w:rsidRDefault="00854392" w:rsidP="00854392"/>
                <w:p w14:paraId="6501A2F5" w14:textId="77777777" w:rsidR="00854392" w:rsidRDefault="00854392" w:rsidP="00854392"/>
                <w:p w14:paraId="0AD57A48" w14:textId="77777777" w:rsidR="00854392" w:rsidRPr="00846B52" w:rsidRDefault="00854392" w:rsidP="00854392">
                  <w:pPr>
                    <w:keepNext/>
                    <w:pBdr>
                      <w:bottom w:val="single" w:sz="12" w:space="1" w:color="333399"/>
                    </w:pBdr>
                    <w:shd w:val="clear" w:color="auto" w:fill="000080"/>
                    <w:tabs>
                      <w:tab w:val="left" w:pos="567"/>
                      <w:tab w:val="left" w:pos="907"/>
                      <w:tab w:val="left" w:pos="1134"/>
                    </w:tabs>
                    <w:spacing w:before="240" w:after="80"/>
                    <w:ind w:firstLine="57"/>
                    <w:outlineLvl w:val="1"/>
                    <w:rPr>
                      <w:b/>
                      <w:caps/>
                      <w:color w:val="FFFFFF"/>
                    </w:rPr>
                  </w:pPr>
                  <w:bookmarkStart w:id="23" w:name="_Toc523750381"/>
                  <w:r w:rsidRPr="00846B52">
                    <w:rPr>
                      <w:b/>
                      <w:caps/>
                      <w:color w:val="FFFFFF"/>
                    </w:rPr>
                    <w:t>Methodology for Calculating Scoring of Qualitative Criteria</w:t>
                  </w:r>
                  <w:bookmarkEnd w:id="23"/>
                  <w:r w:rsidRPr="00846B52">
                    <w:rPr>
                      <w:b/>
                      <w:caps/>
                      <w:color w:val="FFFFFF"/>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884"/>
                    <w:gridCol w:w="5850"/>
                  </w:tblGrid>
                  <w:tr w:rsidR="00854392" w:rsidRPr="00434092" w14:paraId="32FABF0E" w14:textId="77777777" w:rsidTr="002524BC">
                    <w:trPr>
                      <w:trHeight w:val="250"/>
                    </w:trPr>
                    <w:tc>
                      <w:tcPr>
                        <w:tcW w:w="1603" w:type="dxa"/>
                        <w:shd w:val="clear" w:color="auto" w:fill="DEEAF6" w:themeFill="accent1" w:themeFillTint="33"/>
                        <w:vAlign w:val="center"/>
                      </w:tcPr>
                      <w:p w14:paraId="3AC0D780" w14:textId="77777777" w:rsidR="00854392" w:rsidRPr="00434092" w:rsidRDefault="00854392" w:rsidP="002524BC">
                        <w:pPr>
                          <w:jc w:val="center"/>
                          <w:rPr>
                            <w:rFonts w:asciiTheme="minorHAnsi" w:hAnsiTheme="minorHAnsi" w:cstheme="minorHAnsi"/>
                            <w:b/>
                            <w:szCs w:val="22"/>
                            <w:lang w:val="en-IE"/>
                          </w:rPr>
                        </w:pPr>
                        <w:r w:rsidRPr="00434092">
                          <w:rPr>
                            <w:rFonts w:asciiTheme="minorHAnsi" w:hAnsiTheme="minorHAnsi" w:cstheme="minorHAnsi"/>
                            <w:b/>
                            <w:szCs w:val="22"/>
                            <w:lang w:val="en-IE"/>
                          </w:rPr>
                          <w:t>Rating</w:t>
                        </w:r>
                      </w:p>
                    </w:tc>
                    <w:tc>
                      <w:tcPr>
                        <w:tcW w:w="1884" w:type="dxa"/>
                        <w:shd w:val="clear" w:color="auto" w:fill="DEEAF6" w:themeFill="accent1" w:themeFillTint="33"/>
                        <w:vAlign w:val="center"/>
                      </w:tcPr>
                      <w:p w14:paraId="13181DF2" w14:textId="77777777" w:rsidR="00854392" w:rsidRPr="00434092" w:rsidRDefault="00854392" w:rsidP="002524BC">
                        <w:pPr>
                          <w:jc w:val="center"/>
                          <w:rPr>
                            <w:rFonts w:asciiTheme="minorHAnsi" w:hAnsiTheme="minorHAnsi" w:cstheme="minorHAnsi"/>
                            <w:b/>
                            <w:szCs w:val="22"/>
                            <w:lang w:val="en-IE"/>
                          </w:rPr>
                        </w:pPr>
                        <w:r w:rsidRPr="00434092">
                          <w:rPr>
                            <w:rFonts w:asciiTheme="minorHAnsi" w:hAnsiTheme="minorHAnsi" w:cstheme="minorHAnsi"/>
                            <w:b/>
                            <w:szCs w:val="22"/>
                            <w:lang w:val="en-IE"/>
                          </w:rPr>
                          <w:t>% Scoring Options</w:t>
                        </w:r>
                      </w:p>
                    </w:tc>
                    <w:tc>
                      <w:tcPr>
                        <w:tcW w:w="5850" w:type="dxa"/>
                        <w:shd w:val="clear" w:color="auto" w:fill="DEEAF6" w:themeFill="accent1" w:themeFillTint="33"/>
                        <w:vAlign w:val="center"/>
                      </w:tcPr>
                      <w:p w14:paraId="1F419B97" w14:textId="77777777" w:rsidR="00854392" w:rsidRPr="00434092" w:rsidRDefault="00854392" w:rsidP="002524BC">
                        <w:pPr>
                          <w:jc w:val="center"/>
                          <w:rPr>
                            <w:rFonts w:asciiTheme="minorHAnsi" w:hAnsiTheme="minorHAnsi" w:cstheme="minorHAnsi"/>
                            <w:b/>
                            <w:szCs w:val="22"/>
                            <w:lang w:val="en-IE"/>
                          </w:rPr>
                        </w:pPr>
                        <w:r w:rsidRPr="00434092">
                          <w:rPr>
                            <w:rFonts w:asciiTheme="minorHAnsi" w:hAnsiTheme="minorHAnsi" w:cstheme="minorHAnsi"/>
                            <w:b/>
                            <w:szCs w:val="22"/>
                            <w:lang w:val="en-IE"/>
                          </w:rPr>
                          <w:t>Description</w:t>
                        </w:r>
                      </w:p>
                    </w:tc>
                  </w:tr>
                  <w:tr w:rsidR="00854392" w:rsidRPr="00434092" w14:paraId="250EBBEE" w14:textId="77777777" w:rsidTr="002524BC">
                    <w:trPr>
                      <w:trHeight w:val="652"/>
                    </w:trPr>
                    <w:tc>
                      <w:tcPr>
                        <w:tcW w:w="1603" w:type="dxa"/>
                        <w:vAlign w:val="center"/>
                      </w:tcPr>
                      <w:p w14:paraId="588055B3"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Outstanding</w:t>
                        </w:r>
                      </w:p>
                    </w:tc>
                    <w:tc>
                      <w:tcPr>
                        <w:tcW w:w="1884" w:type="dxa"/>
                        <w:vAlign w:val="center"/>
                      </w:tcPr>
                      <w:p w14:paraId="4E649728"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90-100%</w:t>
                        </w:r>
                      </w:p>
                    </w:tc>
                    <w:tc>
                      <w:tcPr>
                        <w:tcW w:w="5850" w:type="dxa"/>
                        <w:vAlign w:val="center"/>
                      </w:tcPr>
                      <w:p w14:paraId="0407BF4A" w14:textId="77777777" w:rsidR="00854392" w:rsidRPr="00434092" w:rsidRDefault="00854392" w:rsidP="002524BC">
                        <w:pPr>
                          <w:pStyle w:val="Default"/>
                          <w:jc w:val="center"/>
                          <w:rPr>
                            <w:rFonts w:asciiTheme="minorHAnsi" w:hAnsiTheme="minorHAnsi" w:cstheme="minorHAnsi"/>
                            <w:bCs/>
                            <w:sz w:val="22"/>
                            <w:szCs w:val="22"/>
                          </w:rPr>
                        </w:pPr>
                      </w:p>
                      <w:p w14:paraId="3842209F" w14:textId="77777777" w:rsidR="00854392" w:rsidRPr="00434092"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Excellent response with very few or no weaknesses that fully meets or exceeds requirements and provides comprehensive, detailed and convincing assurance that the Tenderer will deliver to an outstanding standard</w:t>
                        </w:r>
                        <w:r>
                          <w:rPr>
                            <w:rFonts w:asciiTheme="minorHAnsi" w:hAnsiTheme="minorHAnsi" w:cstheme="minorHAnsi"/>
                            <w:bCs/>
                            <w:sz w:val="22"/>
                            <w:szCs w:val="22"/>
                          </w:rPr>
                          <w:t>.</w:t>
                        </w:r>
                      </w:p>
                      <w:p w14:paraId="5BEA4A14" w14:textId="77777777" w:rsidR="00854392" w:rsidRDefault="00854392" w:rsidP="002524BC">
                        <w:pPr>
                          <w:pStyle w:val="Default"/>
                          <w:jc w:val="center"/>
                          <w:rPr>
                            <w:rFonts w:asciiTheme="minorHAnsi" w:hAnsiTheme="minorHAnsi" w:cstheme="minorHAnsi"/>
                            <w:bCs/>
                            <w:sz w:val="22"/>
                            <w:szCs w:val="22"/>
                          </w:rPr>
                        </w:pPr>
                      </w:p>
                      <w:p w14:paraId="4628C4B2" w14:textId="77777777" w:rsidR="00854392" w:rsidRPr="00434092" w:rsidRDefault="00854392" w:rsidP="002524BC">
                        <w:pPr>
                          <w:pStyle w:val="Default"/>
                          <w:jc w:val="center"/>
                          <w:rPr>
                            <w:rFonts w:asciiTheme="minorHAnsi" w:hAnsiTheme="minorHAnsi" w:cstheme="minorHAnsi"/>
                            <w:bCs/>
                            <w:sz w:val="22"/>
                            <w:szCs w:val="22"/>
                          </w:rPr>
                        </w:pPr>
                      </w:p>
                    </w:tc>
                  </w:tr>
                  <w:tr w:rsidR="00854392" w:rsidRPr="00434092" w14:paraId="5CAF5F9A" w14:textId="77777777" w:rsidTr="002524BC">
                    <w:trPr>
                      <w:trHeight w:val="652"/>
                    </w:trPr>
                    <w:tc>
                      <w:tcPr>
                        <w:tcW w:w="1603" w:type="dxa"/>
                        <w:vAlign w:val="center"/>
                      </w:tcPr>
                      <w:p w14:paraId="414C5614"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Excellent</w:t>
                        </w:r>
                      </w:p>
                    </w:tc>
                    <w:tc>
                      <w:tcPr>
                        <w:tcW w:w="1884" w:type="dxa"/>
                        <w:vAlign w:val="center"/>
                      </w:tcPr>
                      <w:p w14:paraId="288F1515"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80-89%</w:t>
                        </w:r>
                      </w:p>
                      <w:p w14:paraId="14289BFA"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74F47506" w14:textId="77777777" w:rsidR="00854392" w:rsidRPr="00434092" w:rsidRDefault="00854392" w:rsidP="002524BC">
                        <w:pPr>
                          <w:pStyle w:val="Default"/>
                          <w:jc w:val="center"/>
                          <w:rPr>
                            <w:rFonts w:asciiTheme="minorHAnsi" w:hAnsiTheme="minorHAnsi" w:cstheme="minorHAnsi"/>
                            <w:bCs/>
                            <w:sz w:val="22"/>
                            <w:szCs w:val="22"/>
                          </w:rPr>
                        </w:pPr>
                      </w:p>
                      <w:p w14:paraId="613A51A7" w14:textId="77777777" w:rsidR="00854392" w:rsidRPr="00434092"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Excellent response with very few weaknesses that exceeds requirements and provides comprehensive, detailed and convincing assurance that the Tenderer will deliver to an excellent standard</w:t>
                        </w:r>
                        <w:r>
                          <w:rPr>
                            <w:rFonts w:asciiTheme="minorHAnsi" w:hAnsiTheme="minorHAnsi" w:cstheme="minorHAnsi"/>
                            <w:bCs/>
                            <w:sz w:val="22"/>
                            <w:szCs w:val="22"/>
                          </w:rPr>
                          <w:t>.</w:t>
                        </w:r>
                      </w:p>
                      <w:p w14:paraId="155B51DB" w14:textId="77777777" w:rsidR="00854392" w:rsidRDefault="00854392" w:rsidP="002524BC">
                        <w:pPr>
                          <w:jc w:val="center"/>
                          <w:rPr>
                            <w:rFonts w:asciiTheme="minorHAnsi" w:hAnsiTheme="minorHAnsi" w:cstheme="minorHAnsi"/>
                            <w:szCs w:val="22"/>
                            <w:lang w:val="en-IE"/>
                          </w:rPr>
                        </w:pPr>
                      </w:p>
                      <w:p w14:paraId="6B5FFE65" w14:textId="77777777" w:rsidR="00854392" w:rsidRPr="00434092" w:rsidRDefault="00854392" w:rsidP="002524BC">
                        <w:pPr>
                          <w:jc w:val="center"/>
                          <w:rPr>
                            <w:rFonts w:asciiTheme="minorHAnsi" w:hAnsiTheme="minorHAnsi" w:cstheme="minorHAnsi"/>
                            <w:szCs w:val="22"/>
                            <w:lang w:val="en-IE"/>
                          </w:rPr>
                        </w:pPr>
                      </w:p>
                    </w:tc>
                  </w:tr>
                  <w:tr w:rsidR="00854392" w:rsidRPr="00434092" w14:paraId="57FBC115" w14:textId="77777777" w:rsidTr="002524BC">
                    <w:trPr>
                      <w:trHeight w:val="250"/>
                    </w:trPr>
                    <w:tc>
                      <w:tcPr>
                        <w:tcW w:w="1603" w:type="dxa"/>
                        <w:vAlign w:val="center"/>
                      </w:tcPr>
                      <w:p w14:paraId="4EF37AF9"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Very Good</w:t>
                        </w:r>
                      </w:p>
                    </w:tc>
                    <w:tc>
                      <w:tcPr>
                        <w:tcW w:w="1884" w:type="dxa"/>
                        <w:vAlign w:val="center"/>
                      </w:tcPr>
                      <w:p w14:paraId="6DC18F1A"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70-79%</w:t>
                        </w:r>
                      </w:p>
                      <w:p w14:paraId="359BC0D2"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3341132E" w14:textId="77777777" w:rsidR="00854392" w:rsidRPr="00434092" w:rsidRDefault="00854392" w:rsidP="002524BC">
                        <w:pPr>
                          <w:pStyle w:val="Default"/>
                          <w:jc w:val="center"/>
                          <w:rPr>
                            <w:rFonts w:asciiTheme="minorHAnsi" w:hAnsiTheme="minorHAnsi" w:cstheme="minorHAnsi"/>
                            <w:bCs/>
                            <w:sz w:val="22"/>
                            <w:szCs w:val="22"/>
                          </w:rPr>
                        </w:pPr>
                      </w:p>
                      <w:p w14:paraId="62898BD9" w14:textId="77777777" w:rsidR="00854392" w:rsidRPr="00434092"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A very good response that demonstrates real understanding of the requirements and assurance that the Tenderer will deliver to a good or high standard</w:t>
                        </w:r>
                        <w:r>
                          <w:rPr>
                            <w:rFonts w:asciiTheme="minorHAnsi" w:hAnsiTheme="minorHAnsi" w:cstheme="minorHAnsi"/>
                            <w:bCs/>
                            <w:sz w:val="22"/>
                            <w:szCs w:val="22"/>
                          </w:rPr>
                          <w:t>.</w:t>
                        </w:r>
                      </w:p>
                      <w:p w14:paraId="51C6F041" w14:textId="77777777" w:rsidR="00854392" w:rsidRPr="00434092" w:rsidRDefault="00854392" w:rsidP="002524BC">
                        <w:pPr>
                          <w:jc w:val="center"/>
                          <w:rPr>
                            <w:rFonts w:asciiTheme="minorHAnsi" w:hAnsiTheme="minorHAnsi" w:cstheme="minorHAnsi"/>
                            <w:szCs w:val="22"/>
                            <w:lang w:val="en-IE"/>
                          </w:rPr>
                        </w:pPr>
                      </w:p>
                    </w:tc>
                  </w:tr>
                  <w:tr w:rsidR="00854392" w:rsidRPr="00434092" w14:paraId="027CBF3E" w14:textId="77777777" w:rsidTr="002524BC">
                    <w:trPr>
                      <w:trHeight w:val="250"/>
                    </w:trPr>
                    <w:tc>
                      <w:tcPr>
                        <w:tcW w:w="1603" w:type="dxa"/>
                        <w:vAlign w:val="center"/>
                      </w:tcPr>
                      <w:p w14:paraId="702B29CD"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Good</w:t>
                        </w:r>
                      </w:p>
                    </w:tc>
                    <w:tc>
                      <w:tcPr>
                        <w:tcW w:w="1884" w:type="dxa"/>
                        <w:vAlign w:val="center"/>
                      </w:tcPr>
                      <w:p w14:paraId="42EFA23F"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60-69%</w:t>
                        </w:r>
                      </w:p>
                      <w:p w14:paraId="7E301FA1"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173A4E0A" w14:textId="77777777" w:rsidR="00854392" w:rsidRPr="00434092" w:rsidRDefault="00854392" w:rsidP="002524BC">
                        <w:pPr>
                          <w:pStyle w:val="Default"/>
                          <w:jc w:val="center"/>
                          <w:rPr>
                            <w:rFonts w:asciiTheme="minorHAnsi" w:hAnsiTheme="minorHAnsi" w:cstheme="minorHAnsi"/>
                            <w:bCs/>
                            <w:sz w:val="22"/>
                            <w:szCs w:val="22"/>
                          </w:rPr>
                        </w:pPr>
                      </w:p>
                      <w:p w14:paraId="32D09480" w14:textId="77777777" w:rsidR="00854392" w:rsidRPr="00434092"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A good response which demonstrates a reasonable understanding of requirements and gives reasonable assurance of delivery to an adequate standard but does not provide sufficiently convincing assurance to award a higher mark</w:t>
                        </w:r>
                        <w:r>
                          <w:rPr>
                            <w:rFonts w:asciiTheme="minorHAnsi" w:hAnsiTheme="minorHAnsi" w:cstheme="minorHAnsi"/>
                            <w:bCs/>
                            <w:sz w:val="22"/>
                            <w:szCs w:val="22"/>
                          </w:rPr>
                          <w:t>.</w:t>
                        </w:r>
                      </w:p>
                      <w:p w14:paraId="06DDB531" w14:textId="77777777" w:rsidR="00854392" w:rsidRPr="00434092" w:rsidRDefault="00854392" w:rsidP="002524BC">
                        <w:pPr>
                          <w:jc w:val="center"/>
                          <w:rPr>
                            <w:rFonts w:asciiTheme="minorHAnsi" w:hAnsiTheme="minorHAnsi" w:cstheme="minorHAnsi"/>
                            <w:szCs w:val="22"/>
                            <w:lang w:val="en-IE"/>
                          </w:rPr>
                        </w:pPr>
                      </w:p>
                    </w:tc>
                  </w:tr>
                  <w:tr w:rsidR="00854392" w:rsidRPr="00434092" w14:paraId="2FE0DCE5" w14:textId="77777777" w:rsidTr="002524BC">
                    <w:trPr>
                      <w:trHeight w:val="250"/>
                    </w:trPr>
                    <w:tc>
                      <w:tcPr>
                        <w:tcW w:w="1603" w:type="dxa"/>
                        <w:vAlign w:val="center"/>
                      </w:tcPr>
                      <w:p w14:paraId="06C167F9"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Fair</w:t>
                        </w:r>
                      </w:p>
                    </w:tc>
                    <w:tc>
                      <w:tcPr>
                        <w:tcW w:w="1884" w:type="dxa"/>
                        <w:vAlign w:val="center"/>
                      </w:tcPr>
                      <w:p w14:paraId="44BE62A6"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40-59%</w:t>
                        </w:r>
                      </w:p>
                      <w:p w14:paraId="56DB44B3"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34E75FBE" w14:textId="77777777" w:rsidR="00854392" w:rsidRPr="00434092" w:rsidRDefault="00854392" w:rsidP="002524BC">
                        <w:pPr>
                          <w:pStyle w:val="Default"/>
                          <w:jc w:val="center"/>
                          <w:rPr>
                            <w:rFonts w:asciiTheme="minorHAnsi" w:hAnsiTheme="minorHAnsi" w:cstheme="minorHAnsi"/>
                            <w:bCs/>
                            <w:sz w:val="22"/>
                            <w:szCs w:val="22"/>
                          </w:rPr>
                        </w:pPr>
                      </w:p>
                      <w:p w14:paraId="2B50D843" w14:textId="77777777" w:rsidR="00854392" w:rsidRPr="00434092" w:rsidRDefault="00854392" w:rsidP="002524BC">
                        <w:pPr>
                          <w:pStyle w:val="Default"/>
                          <w:jc w:val="center"/>
                          <w:rPr>
                            <w:rFonts w:asciiTheme="minorHAnsi" w:hAnsiTheme="minorHAnsi" w:cstheme="minorHAnsi"/>
                            <w:sz w:val="22"/>
                            <w:szCs w:val="22"/>
                          </w:rPr>
                        </w:pPr>
                        <w:r w:rsidRPr="00434092">
                          <w:rPr>
                            <w:rFonts w:asciiTheme="minorHAnsi" w:hAnsiTheme="minorHAnsi" w:cstheme="minorHAnsi"/>
                            <w:bCs/>
                            <w:sz w:val="22"/>
                            <w:szCs w:val="22"/>
                          </w:rPr>
                          <w:t>A response where reservations exist</w:t>
                        </w:r>
                        <w:r>
                          <w:rPr>
                            <w:rFonts w:asciiTheme="minorHAnsi" w:hAnsiTheme="minorHAnsi" w:cstheme="minorHAnsi"/>
                            <w:bCs/>
                            <w:sz w:val="22"/>
                            <w:szCs w:val="22"/>
                          </w:rPr>
                          <w:t>,</w:t>
                        </w:r>
                        <w:r w:rsidRPr="00434092">
                          <w:rPr>
                            <w:rFonts w:asciiTheme="minorHAnsi" w:hAnsiTheme="minorHAnsi" w:cstheme="minorHAnsi"/>
                            <w:bCs/>
                            <w:sz w:val="22"/>
                            <w:szCs w:val="22"/>
                          </w:rPr>
                          <w:t xml:space="preserve"> and which have not been addressed by clarification. Lacks full credibility/convincing detail and there is a significant risk that the response will not be successful</w:t>
                        </w:r>
                        <w:r>
                          <w:rPr>
                            <w:rFonts w:asciiTheme="minorHAnsi" w:hAnsiTheme="minorHAnsi" w:cstheme="minorHAnsi"/>
                            <w:bCs/>
                            <w:sz w:val="22"/>
                            <w:szCs w:val="22"/>
                          </w:rPr>
                          <w:t>.</w:t>
                        </w:r>
                      </w:p>
                      <w:p w14:paraId="57854CD1" w14:textId="77777777" w:rsidR="00854392" w:rsidRPr="00434092" w:rsidRDefault="00854392" w:rsidP="002524BC">
                        <w:pPr>
                          <w:jc w:val="center"/>
                          <w:rPr>
                            <w:rFonts w:asciiTheme="minorHAnsi" w:hAnsiTheme="minorHAnsi" w:cstheme="minorHAnsi"/>
                            <w:szCs w:val="22"/>
                            <w:lang w:val="en-IE"/>
                          </w:rPr>
                        </w:pPr>
                      </w:p>
                    </w:tc>
                  </w:tr>
                  <w:tr w:rsidR="00854392" w:rsidRPr="00434092" w14:paraId="386EE9AE" w14:textId="77777777" w:rsidTr="002524BC">
                    <w:trPr>
                      <w:trHeight w:val="250"/>
                    </w:trPr>
                    <w:tc>
                      <w:tcPr>
                        <w:tcW w:w="1603" w:type="dxa"/>
                        <w:vAlign w:val="center"/>
                      </w:tcPr>
                      <w:p w14:paraId="60871767"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lastRenderedPageBreak/>
                          <w:t>Poor</w:t>
                        </w:r>
                      </w:p>
                    </w:tc>
                    <w:tc>
                      <w:tcPr>
                        <w:tcW w:w="1884" w:type="dxa"/>
                        <w:vAlign w:val="center"/>
                      </w:tcPr>
                      <w:p w14:paraId="3999BEEF" w14:textId="77777777" w:rsidR="00854392" w:rsidRPr="00434092" w:rsidRDefault="00854392" w:rsidP="002524BC">
                        <w:pPr>
                          <w:jc w:val="center"/>
                          <w:rPr>
                            <w:rFonts w:asciiTheme="minorHAnsi" w:hAnsiTheme="minorHAnsi" w:cstheme="minorHAnsi"/>
                            <w:szCs w:val="22"/>
                            <w:lang w:val="en-IE"/>
                          </w:rPr>
                        </w:pPr>
                      </w:p>
                      <w:p w14:paraId="5A3E9B9B"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25-39%</w:t>
                        </w:r>
                      </w:p>
                      <w:p w14:paraId="2EE47FC6"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0F068914" w14:textId="77777777" w:rsidR="00854392" w:rsidRPr="00434092" w:rsidRDefault="00854392" w:rsidP="002524BC">
                        <w:pPr>
                          <w:pStyle w:val="Default"/>
                          <w:jc w:val="center"/>
                          <w:rPr>
                            <w:rFonts w:asciiTheme="minorHAnsi" w:hAnsiTheme="minorHAnsi" w:cstheme="minorHAnsi"/>
                            <w:bCs/>
                            <w:sz w:val="22"/>
                            <w:szCs w:val="22"/>
                          </w:rPr>
                        </w:pPr>
                      </w:p>
                      <w:p w14:paraId="08C575F2" w14:textId="77777777" w:rsidR="00854392" w:rsidRPr="00434092"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A response where serious reservations exist. This may be because, for example, insufficient detail is provided (even post clarification), and the response has fundamental flaws, or is seriously inadequate or seriously lacks credibility with a high risk of non-delivery</w:t>
                        </w:r>
                        <w:r>
                          <w:rPr>
                            <w:rFonts w:asciiTheme="minorHAnsi" w:hAnsiTheme="minorHAnsi" w:cstheme="minorHAnsi"/>
                            <w:bCs/>
                            <w:sz w:val="22"/>
                            <w:szCs w:val="22"/>
                          </w:rPr>
                          <w:t>.</w:t>
                        </w:r>
                      </w:p>
                      <w:p w14:paraId="1A4A88CD" w14:textId="77777777" w:rsidR="00854392" w:rsidRPr="00434092" w:rsidRDefault="00854392" w:rsidP="002524BC">
                        <w:pPr>
                          <w:jc w:val="center"/>
                          <w:rPr>
                            <w:rFonts w:asciiTheme="minorHAnsi" w:hAnsiTheme="minorHAnsi" w:cstheme="minorHAnsi"/>
                            <w:szCs w:val="22"/>
                            <w:lang w:val="en-IE"/>
                          </w:rPr>
                        </w:pPr>
                      </w:p>
                    </w:tc>
                  </w:tr>
                  <w:tr w:rsidR="00854392" w:rsidRPr="00434092" w14:paraId="699BD7C4" w14:textId="77777777" w:rsidTr="002524BC">
                    <w:trPr>
                      <w:trHeight w:val="250"/>
                    </w:trPr>
                    <w:tc>
                      <w:tcPr>
                        <w:tcW w:w="1603" w:type="dxa"/>
                        <w:vAlign w:val="center"/>
                      </w:tcPr>
                      <w:p w14:paraId="12077D73"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No Evidence</w:t>
                        </w:r>
                      </w:p>
                    </w:tc>
                    <w:tc>
                      <w:tcPr>
                        <w:tcW w:w="1884" w:type="dxa"/>
                        <w:vAlign w:val="center"/>
                      </w:tcPr>
                      <w:p w14:paraId="446451F6" w14:textId="77777777" w:rsidR="00854392" w:rsidRPr="00434092" w:rsidRDefault="00854392" w:rsidP="002524BC">
                        <w:pPr>
                          <w:jc w:val="center"/>
                          <w:rPr>
                            <w:rFonts w:asciiTheme="minorHAnsi" w:hAnsiTheme="minorHAnsi" w:cstheme="minorHAnsi"/>
                            <w:szCs w:val="22"/>
                            <w:lang w:val="en-IE"/>
                          </w:rPr>
                        </w:pPr>
                      </w:p>
                      <w:p w14:paraId="57A91226" w14:textId="77777777" w:rsidR="00854392" w:rsidRPr="00434092" w:rsidRDefault="00854392" w:rsidP="002524BC">
                        <w:pPr>
                          <w:jc w:val="center"/>
                          <w:rPr>
                            <w:rFonts w:asciiTheme="minorHAnsi" w:hAnsiTheme="minorHAnsi" w:cstheme="minorHAnsi"/>
                            <w:szCs w:val="22"/>
                            <w:lang w:val="en-IE"/>
                          </w:rPr>
                        </w:pPr>
                        <w:r w:rsidRPr="00434092">
                          <w:rPr>
                            <w:rFonts w:asciiTheme="minorHAnsi" w:hAnsiTheme="minorHAnsi" w:cstheme="minorHAnsi"/>
                            <w:szCs w:val="22"/>
                            <w:lang w:val="en-IE"/>
                          </w:rPr>
                          <w:t>Below 25%</w:t>
                        </w:r>
                      </w:p>
                      <w:p w14:paraId="0C2A1619" w14:textId="77777777" w:rsidR="00854392" w:rsidRPr="00434092" w:rsidRDefault="00854392" w:rsidP="002524BC">
                        <w:pPr>
                          <w:jc w:val="center"/>
                          <w:rPr>
                            <w:rFonts w:asciiTheme="minorHAnsi" w:hAnsiTheme="minorHAnsi" w:cstheme="minorHAnsi"/>
                            <w:szCs w:val="22"/>
                            <w:lang w:val="en-IE"/>
                          </w:rPr>
                        </w:pPr>
                      </w:p>
                    </w:tc>
                    <w:tc>
                      <w:tcPr>
                        <w:tcW w:w="5850" w:type="dxa"/>
                        <w:vAlign w:val="center"/>
                      </w:tcPr>
                      <w:p w14:paraId="459E6BD6" w14:textId="77777777" w:rsidR="00854392" w:rsidRPr="0028637F" w:rsidRDefault="00854392" w:rsidP="002524BC">
                        <w:pPr>
                          <w:pStyle w:val="Default"/>
                          <w:jc w:val="center"/>
                          <w:rPr>
                            <w:rFonts w:asciiTheme="minorHAnsi" w:hAnsiTheme="minorHAnsi" w:cstheme="minorHAnsi"/>
                            <w:bCs/>
                            <w:sz w:val="22"/>
                            <w:szCs w:val="22"/>
                          </w:rPr>
                        </w:pPr>
                        <w:r w:rsidRPr="00434092">
                          <w:rPr>
                            <w:rFonts w:asciiTheme="minorHAnsi" w:hAnsiTheme="minorHAnsi" w:cstheme="minorHAnsi"/>
                            <w:bCs/>
                            <w:sz w:val="22"/>
                            <w:szCs w:val="22"/>
                          </w:rPr>
                          <w:t>Response completely fails to address the criterion under consideration</w:t>
                        </w:r>
                        <w:r>
                          <w:rPr>
                            <w:rFonts w:asciiTheme="minorHAnsi" w:hAnsiTheme="minorHAnsi" w:cstheme="minorHAnsi"/>
                            <w:bCs/>
                            <w:sz w:val="22"/>
                            <w:szCs w:val="22"/>
                          </w:rPr>
                          <w:t>.</w:t>
                        </w:r>
                      </w:p>
                    </w:tc>
                  </w:tr>
                </w:tbl>
                <w:p w14:paraId="1AB1710B" w14:textId="77777777" w:rsidR="00854392" w:rsidRPr="006C7EB6" w:rsidRDefault="00854392" w:rsidP="00854392">
                  <w:pPr>
                    <w:pStyle w:val="DefaultText"/>
                    <w:rPr>
                      <w:rStyle w:val="InitialStyle"/>
                      <w:rFonts w:ascii="Verdana" w:hAnsi="Verdana" w:cs="Open Sans"/>
                      <w:b w:val="0"/>
                      <w:szCs w:val="22"/>
                      <w:lang w:val="en-IE"/>
                    </w:rPr>
                  </w:pPr>
                </w:p>
                <w:p w14:paraId="244A699F" w14:textId="77777777" w:rsidR="00854392" w:rsidRPr="00434092" w:rsidRDefault="00854392" w:rsidP="00854392">
                  <w:pPr>
                    <w:pStyle w:val="DefaultText"/>
                    <w:rPr>
                      <w:lang w:val="en-IE" w:eastAsia="en-GB"/>
                    </w:rPr>
                  </w:pPr>
                  <w:r w:rsidRPr="006C7EB6">
                    <w:rPr>
                      <w:lang w:val="en-IE" w:eastAsia="en-GB"/>
                    </w:rPr>
                    <w:t>A minimum rating of Good (</w:t>
                  </w:r>
                  <w:r>
                    <w:rPr>
                      <w:lang w:val="en-IE" w:eastAsia="en-GB"/>
                    </w:rPr>
                    <w:t>60-69</w:t>
                  </w:r>
                  <w:r w:rsidRPr="006C7EB6">
                    <w:rPr>
                      <w:lang w:val="en-IE" w:eastAsia="en-GB"/>
                    </w:rPr>
                    <w:t>%) is required; failure of a tenderer to achieve the minimum score under any of the criteria will result in elimination from the competition.</w:t>
                  </w:r>
                </w:p>
                <w:p w14:paraId="55C2BC32" w14:textId="77777777" w:rsidR="00854392" w:rsidRDefault="00854392" w:rsidP="00854392">
                  <w:r w:rsidRPr="00434092">
                    <w:rPr>
                      <w:rFonts w:asciiTheme="minorHAnsi" w:eastAsiaTheme="minorEastAsia" w:hAnsiTheme="minorHAnsi" w:cstheme="minorHAnsi"/>
                      <w:lang w:val="en-US" w:eastAsia="ja-JP"/>
                    </w:rPr>
                    <w:t>Marks in the score ranges outlined above can be awarded where responses so merit additional marks.</w:t>
                  </w:r>
                  <w:r w:rsidRPr="00846B52">
                    <w:rPr>
                      <w:rFonts w:ascii="Arial" w:eastAsiaTheme="minorEastAsia" w:hAnsi="Arial" w:cs="Arial"/>
                      <w:lang w:val="en-US" w:eastAsia="ja-JP"/>
                    </w:rPr>
                    <w:t xml:space="preserve"> </w:t>
                  </w:r>
                </w:p>
              </w:sdtContent>
            </w:sdt>
            <w:p w14:paraId="2ABAB64A" w14:textId="77777777" w:rsidR="00854392" w:rsidRDefault="006D3140" w:rsidP="00854392"/>
          </w:sdtContent>
        </w:sdt>
        <w:p w14:paraId="1B0A9548" w14:textId="0726983D" w:rsidR="00564F8A" w:rsidRPr="009F2CFB" w:rsidRDefault="006D3140"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w:t>
            </w:r>
            <w:r>
              <w:lastRenderedPageBreak/>
              <w:t xml:space="preserve">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lastRenderedPageBreak/>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3E9A4BEC"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4"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AA4911">
              <w:rPr>
                <w:noProof/>
              </w:rPr>
              <w:t>10</w:t>
            </w:r>
            <w:r w:rsidRPr="000E5DB7">
              <w:fldChar w:fldCharType="end"/>
            </w:r>
            <w:bookmarkEnd w:id="24"/>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53CA5884" w14:textId="77777777" w:rsidR="008754E6" w:rsidRPr="008754E6" w:rsidRDefault="008754E6" w:rsidP="008754E6">
              <w:pPr>
                <w:rPr>
                  <w:b/>
                  <w:bCs/>
                  <w:lang w:val="en-IE"/>
                </w:rPr>
              </w:pPr>
              <w:r w:rsidRPr="008754E6">
                <w:rPr>
                  <w:b/>
                  <w:bCs/>
                  <w:lang w:val="en-IE"/>
                </w:rPr>
                <w:t>1. Overview</w:t>
              </w:r>
            </w:p>
            <w:p w14:paraId="14B29214" w14:textId="77777777" w:rsidR="008754E6" w:rsidRPr="008754E6" w:rsidRDefault="008754E6" w:rsidP="008754E6">
              <w:pPr>
                <w:rPr>
                  <w:lang w:val="en-IE"/>
                </w:rPr>
              </w:pPr>
              <w:r w:rsidRPr="008754E6">
                <w:rPr>
                  <w:lang w:val="en-IE"/>
                </w:rPr>
                <w:t>The Health and Safety Authority (HSA) requires a secure, resilient, and scalable enterprise network and wireless infrastructure to support its statutory functions, corporate operations, inspectors, and administrative staff across multiple locations.</w:t>
              </w:r>
            </w:p>
            <w:p w14:paraId="219ABFBE" w14:textId="4DF74877" w:rsidR="008754E6" w:rsidRPr="008754E6" w:rsidRDefault="008754E6" w:rsidP="008754E6">
              <w:pPr>
                <w:rPr>
                  <w:lang w:val="en-IE"/>
                </w:rPr>
              </w:pPr>
              <w:r w:rsidRPr="008754E6">
                <w:rPr>
                  <w:lang w:val="en-IE"/>
                </w:rPr>
                <w:t>As a cloud-first organisation, the majority of HSA systems are hosted in Microsoft Azure or delivered via third-party managed services. A limited on-premises presence remains, comprising three domain controllers required to support connectivity to OGCIO Build to Share services. Core business applications include two Microsoft Dynamics CRM solutions and Microsoft 365. Financial, HR, and QMS systems are externally hosted by third-party providers.</w:t>
              </w:r>
            </w:p>
            <w:p w14:paraId="48BA9186" w14:textId="312FE277" w:rsidR="008754E6" w:rsidRDefault="008754E6" w:rsidP="008754E6">
              <w:pPr>
                <w:rPr>
                  <w:lang w:val="en-IE"/>
                </w:rPr>
              </w:pPr>
              <w:r w:rsidRPr="008754E6">
                <w:rPr>
                  <w:lang w:val="en-IE"/>
                </w:rPr>
                <w:t xml:space="preserve">The proposed solution must deliver a robust and future-proof platform that supports current operational requirements for approximately 330 </w:t>
              </w:r>
              <w:r w:rsidR="000A7F79">
                <w:rPr>
                  <w:lang w:val="en-IE"/>
                </w:rPr>
                <w:t xml:space="preserve">hybrid </w:t>
              </w:r>
              <w:r w:rsidRPr="008754E6">
                <w:rPr>
                  <w:lang w:val="en-IE"/>
                </w:rPr>
                <w:t>staff, while enabling future growth, ongoing improvement, and evolving business needs.</w:t>
              </w:r>
            </w:p>
            <w:p w14:paraId="0E87B1E8" w14:textId="77777777" w:rsidR="00867807" w:rsidRDefault="00867807" w:rsidP="008754E6">
              <w:pPr>
                <w:rPr>
                  <w:lang w:val="en-IE"/>
                </w:rPr>
              </w:pPr>
            </w:p>
            <w:tbl>
              <w:tblPr>
                <w:tblW w:w="41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591"/>
              </w:tblGrid>
              <w:tr w:rsidR="004F7F10" w:rsidRPr="004F7F10" w14:paraId="407FD4DB" w14:textId="77777777" w:rsidTr="005C5508">
                <w:trPr>
                  <w:trHeight w:val="285"/>
                </w:trPr>
                <w:tc>
                  <w:tcPr>
                    <w:tcW w:w="151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E31899C" w14:textId="77777777" w:rsidR="004F7F10" w:rsidRPr="004F7F10" w:rsidRDefault="004F7F10" w:rsidP="004F7F10">
                    <w:pPr>
                      <w:rPr>
                        <w:lang w:val="en-IE"/>
                      </w:rPr>
                    </w:pPr>
                    <w:r w:rsidRPr="004F7F10">
                      <w:rPr>
                        <w:b/>
                        <w:bCs/>
                        <w:lang w:val="en-IE"/>
                      </w:rPr>
                      <w:t>Office</w:t>
                    </w:r>
                    <w:r w:rsidRPr="004F7F10">
                      <w:rPr>
                        <w:lang w:val="en-IE"/>
                      </w:rPr>
                      <w:t> </w:t>
                    </w:r>
                  </w:p>
                </w:tc>
                <w:tc>
                  <w:tcPr>
                    <w:tcW w:w="2591" w:type="dxa"/>
                    <w:tcBorders>
                      <w:top w:val="single" w:sz="4" w:space="0" w:color="auto"/>
                      <w:left w:val="nil"/>
                      <w:bottom w:val="single" w:sz="4" w:space="0" w:color="auto"/>
                      <w:right w:val="single" w:sz="4" w:space="0" w:color="auto"/>
                    </w:tcBorders>
                    <w:shd w:val="clear" w:color="auto" w:fill="0070C0"/>
                    <w:vAlign w:val="bottom"/>
                    <w:hideMark/>
                  </w:tcPr>
                  <w:p w14:paraId="1D78DB3F" w14:textId="77777777" w:rsidR="004F7F10" w:rsidRPr="004F7F10" w:rsidRDefault="004F7F10" w:rsidP="004F7F10">
                    <w:pPr>
                      <w:rPr>
                        <w:lang w:val="en-IE"/>
                      </w:rPr>
                    </w:pPr>
                    <w:r w:rsidRPr="004F7F10">
                      <w:rPr>
                        <w:b/>
                        <w:bCs/>
                        <w:lang w:val="en-IE"/>
                      </w:rPr>
                      <w:t>Total Ports/Site</w:t>
                    </w:r>
                    <w:r w:rsidRPr="004F7F10">
                      <w:rPr>
                        <w:lang w:val="en-IE"/>
                      </w:rPr>
                      <w:t> </w:t>
                    </w:r>
                  </w:p>
                </w:tc>
              </w:tr>
              <w:tr w:rsidR="004F7F10" w:rsidRPr="004F7F10" w14:paraId="50B36F0E"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0315AEA7" w14:textId="77777777" w:rsidR="004F7F10" w:rsidRPr="004F7F10" w:rsidRDefault="004F7F10" w:rsidP="004F7F10">
                    <w:pPr>
                      <w:rPr>
                        <w:lang w:val="en-IE"/>
                      </w:rPr>
                    </w:pPr>
                    <w:r w:rsidRPr="004F7F10">
                      <w:rPr>
                        <w:lang w:val="en-IE"/>
                      </w:rPr>
                      <w:t>Athlone </w:t>
                    </w:r>
                  </w:p>
                </w:tc>
                <w:tc>
                  <w:tcPr>
                    <w:tcW w:w="2591" w:type="dxa"/>
                    <w:tcBorders>
                      <w:top w:val="nil"/>
                      <w:left w:val="nil"/>
                      <w:bottom w:val="single" w:sz="4" w:space="0" w:color="auto"/>
                      <w:right w:val="single" w:sz="4" w:space="0" w:color="auto"/>
                    </w:tcBorders>
                    <w:vAlign w:val="bottom"/>
                    <w:hideMark/>
                  </w:tcPr>
                  <w:p w14:paraId="71D9EF04" w14:textId="55FD2E95" w:rsidR="004F7F10" w:rsidRPr="004F7F10" w:rsidRDefault="001D6C9C" w:rsidP="004F7F10">
                    <w:pPr>
                      <w:rPr>
                        <w:lang w:val="en-IE"/>
                      </w:rPr>
                    </w:pPr>
                    <w:r>
                      <w:rPr>
                        <w:lang w:val="en-IE"/>
                      </w:rPr>
                      <w:t>60</w:t>
                    </w:r>
                  </w:p>
                </w:tc>
              </w:tr>
              <w:tr w:rsidR="004F7F10" w:rsidRPr="004F7F10" w14:paraId="2D049DCE"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0EB84D92" w14:textId="77777777" w:rsidR="004F7F10" w:rsidRPr="004F7F10" w:rsidRDefault="004F7F10" w:rsidP="004F7F10">
                    <w:pPr>
                      <w:rPr>
                        <w:lang w:val="en-IE"/>
                      </w:rPr>
                    </w:pPr>
                    <w:r w:rsidRPr="004F7F10">
                      <w:rPr>
                        <w:lang w:val="en-IE"/>
                      </w:rPr>
                      <w:t>Cork </w:t>
                    </w:r>
                  </w:p>
                </w:tc>
                <w:tc>
                  <w:tcPr>
                    <w:tcW w:w="2591" w:type="dxa"/>
                    <w:tcBorders>
                      <w:top w:val="nil"/>
                      <w:left w:val="nil"/>
                      <w:bottom w:val="single" w:sz="4" w:space="0" w:color="auto"/>
                      <w:right w:val="single" w:sz="4" w:space="0" w:color="auto"/>
                    </w:tcBorders>
                    <w:vAlign w:val="bottom"/>
                    <w:hideMark/>
                  </w:tcPr>
                  <w:p w14:paraId="4F849994" w14:textId="013EE4EB" w:rsidR="004F7F10" w:rsidRPr="004F7F10" w:rsidRDefault="001D6C9C" w:rsidP="004F7F10">
                    <w:pPr>
                      <w:rPr>
                        <w:lang w:val="en-IE"/>
                      </w:rPr>
                    </w:pPr>
                    <w:r>
                      <w:rPr>
                        <w:lang w:val="en-IE"/>
                      </w:rPr>
                      <w:t>30</w:t>
                    </w:r>
                  </w:p>
                </w:tc>
              </w:tr>
              <w:tr w:rsidR="004F7F10" w:rsidRPr="004F7F10" w14:paraId="5E2365DF"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2526B5EA" w14:textId="77777777" w:rsidR="004F7F10" w:rsidRPr="004F7F10" w:rsidRDefault="004F7F10" w:rsidP="004F7F10">
                    <w:pPr>
                      <w:rPr>
                        <w:lang w:val="en-IE"/>
                      </w:rPr>
                    </w:pPr>
                    <w:r w:rsidRPr="004F7F10">
                      <w:rPr>
                        <w:lang w:val="en-IE"/>
                      </w:rPr>
                      <w:t>Dublin </w:t>
                    </w:r>
                  </w:p>
                </w:tc>
                <w:tc>
                  <w:tcPr>
                    <w:tcW w:w="2591" w:type="dxa"/>
                    <w:tcBorders>
                      <w:top w:val="nil"/>
                      <w:left w:val="nil"/>
                      <w:bottom w:val="single" w:sz="4" w:space="0" w:color="auto"/>
                      <w:right w:val="single" w:sz="4" w:space="0" w:color="auto"/>
                    </w:tcBorders>
                    <w:vAlign w:val="bottom"/>
                    <w:hideMark/>
                  </w:tcPr>
                  <w:p w14:paraId="591D8FD3" w14:textId="5B9131C1" w:rsidR="004F7F10" w:rsidRPr="004F7F10" w:rsidRDefault="001D6C9C" w:rsidP="004F7F10">
                    <w:pPr>
                      <w:rPr>
                        <w:lang w:val="en-IE"/>
                      </w:rPr>
                    </w:pPr>
                    <w:r>
                      <w:rPr>
                        <w:lang w:val="en-IE"/>
                      </w:rPr>
                      <w:t>140</w:t>
                    </w:r>
                  </w:p>
                </w:tc>
              </w:tr>
              <w:tr w:rsidR="004F7F10" w:rsidRPr="004F7F10" w14:paraId="625745DA"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0F07FC26" w14:textId="77777777" w:rsidR="004F7F10" w:rsidRPr="004F7F10" w:rsidRDefault="004F7F10" w:rsidP="004F7F10">
                    <w:pPr>
                      <w:rPr>
                        <w:lang w:val="en-IE"/>
                      </w:rPr>
                    </w:pPr>
                    <w:r w:rsidRPr="004F7F10">
                      <w:rPr>
                        <w:lang w:val="en-IE"/>
                      </w:rPr>
                      <w:t>Galway </w:t>
                    </w:r>
                  </w:p>
                </w:tc>
                <w:tc>
                  <w:tcPr>
                    <w:tcW w:w="2591" w:type="dxa"/>
                    <w:tcBorders>
                      <w:top w:val="nil"/>
                      <w:left w:val="nil"/>
                      <w:bottom w:val="single" w:sz="4" w:space="0" w:color="auto"/>
                      <w:right w:val="single" w:sz="4" w:space="0" w:color="auto"/>
                    </w:tcBorders>
                    <w:vAlign w:val="bottom"/>
                    <w:hideMark/>
                  </w:tcPr>
                  <w:p w14:paraId="4060F301" w14:textId="313981FF" w:rsidR="004F7F10" w:rsidRPr="004F7F10" w:rsidRDefault="001D6C9C" w:rsidP="004F7F10">
                    <w:pPr>
                      <w:rPr>
                        <w:lang w:val="en-IE"/>
                      </w:rPr>
                    </w:pPr>
                    <w:r>
                      <w:rPr>
                        <w:lang w:val="en-IE"/>
                      </w:rPr>
                      <w:t>15</w:t>
                    </w:r>
                  </w:p>
                </w:tc>
              </w:tr>
              <w:tr w:rsidR="004F7F10" w:rsidRPr="004F7F10" w14:paraId="56009BF7"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491FA9E4" w14:textId="77777777" w:rsidR="004F7F10" w:rsidRPr="004F7F10" w:rsidRDefault="004F7F10" w:rsidP="004F7F10">
                    <w:pPr>
                      <w:rPr>
                        <w:lang w:val="en-IE"/>
                      </w:rPr>
                    </w:pPr>
                    <w:r w:rsidRPr="004F7F10">
                      <w:rPr>
                        <w:lang w:val="en-IE"/>
                      </w:rPr>
                      <w:t>Kilkenny </w:t>
                    </w:r>
                  </w:p>
                </w:tc>
                <w:tc>
                  <w:tcPr>
                    <w:tcW w:w="2591" w:type="dxa"/>
                    <w:tcBorders>
                      <w:top w:val="nil"/>
                      <w:left w:val="nil"/>
                      <w:bottom w:val="single" w:sz="4" w:space="0" w:color="auto"/>
                      <w:right w:val="single" w:sz="4" w:space="0" w:color="auto"/>
                    </w:tcBorders>
                    <w:vAlign w:val="bottom"/>
                    <w:hideMark/>
                  </w:tcPr>
                  <w:p w14:paraId="5EC566AB" w14:textId="1644CC88" w:rsidR="004F7F10" w:rsidRPr="004F7F10" w:rsidRDefault="001D6C9C" w:rsidP="004F7F10">
                    <w:pPr>
                      <w:rPr>
                        <w:lang w:val="en-IE"/>
                      </w:rPr>
                    </w:pPr>
                    <w:r>
                      <w:rPr>
                        <w:lang w:val="en-IE"/>
                      </w:rPr>
                      <w:t>30</w:t>
                    </w:r>
                  </w:p>
                </w:tc>
              </w:tr>
              <w:tr w:rsidR="004F7F10" w:rsidRPr="004F7F10" w14:paraId="76C1B98A"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706C3782" w14:textId="77777777" w:rsidR="004F7F10" w:rsidRPr="004F7F10" w:rsidRDefault="004F7F10" w:rsidP="004F7F10">
                    <w:pPr>
                      <w:rPr>
                        <w:lang w:val="en-IE"/>
                      </w:rPr>
                    </w:pPr>
                    <w:r w:rsidRPr="004F7F10">
                      <w:rPr>
                        <w:lang w:val="en-IE"/>
                      </w:rPr>
                      <w:t>Limerick </w:t>
                    </w:r>
                  </w:p>
                </w:tc>
                <w:tc>
                  <w:tcPr>
                    <w:tcW w:w="2591" w:type="dxa"/>
                    <w:tcBorders>
                      <w:top w:val="nil"/>
                      <w:left w:val="nil"/>
                      <w:bottom w:val="single" w:sz="4" w:space="0" w:color="auto"/>
                      <w:right w:val="single" w:sz="4" w:space="0" w:color="auto"/>
                    </w:tcBorders>
                    <w:vAlign w:val="bottom"/>
                    <w:hideMark/>
                  </w:tcPr>
                  <w:p w14:paraId="029A5BD5" w14:textId="5C43AA6B" w:rsidR="004F7F10" w:rsidRPr="004F7F10" w:rsidRDefault="001D6C9C" w:rsidP="004F7F10">
                    <w:pPr>
                      <w:rPr>
                        <w:lang w:val="en-IE"/>
                      </w:rPr>
                    </w:pPr>
                    <w:r>
                      <w:rPr>
                        <w:lang w:val="en-IE"/>
                      </w:rPr>
                      <w:t>20</w:t>
                    </w:r>
                  </w:p>
                </w:tc>
              </w:tr>
              <w:tr w:rsidR="004F7F10" w:rsidRPr="004F7F10" w14:paraId="0D3FF0AE"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00F7E810" w14:textId="77777777" w:rsidR="004F7F10" w:rsidRPr="004F7F10" w:rsidRDefault="004F7F10" w:rsidP="004F7F10">
                    <w:pPr>
                      <w:rPr>
                        <w:lang w:val="en-IE"/>
                      </w:rPr>
                    </w:pPr>
                    <w:r w:rsidRPr="004F7F10">
                      <w:rPr>
                        <w:lang w:val="en-IE"/>
                      </w:rPr>
                      <w:t>Sligo  </w:t>
                    </w:r>
                  </w:p>
                </w:tc>
                <w:tc>
                  <w:tcPr>
                    <w:tcW w:w="2591" w:type="dxa"/>
                    <w:tcBorders>
                      <w:top w:val="nil"/>
                      <w:left w:val="nil"/>
                      <w:bottom w:val="single" w:sz="4" w:space="0" w:color="auto"/>
                      <w:right w:val="single" w:sz="4" w:space="0" w:color="auto"/>
                    </w:tcBorders>
                    <w:vAlign w:val="bottom"/>
                    <w:hideMark/>
                  </w:tcPr>
                  <w:p w14:paraId="418E5AD8" w14:textId="3F20DE5F" w:rsidR="004F7F10" w:rsidRPr="004F7F10" w:rsidRDefault="001D6C9C" w:rsidP="004F7F10">
                    <w:pPr>
                      <w:rPr>
                        <w:lang w:val="en-IE"/>
                      </w:rPr>
                    </w:pPr>
                    <w:r>
                      <w:rPr>
                        <w:lang w:val="en-IE"/>
                      </w:rPr>
                      <w:t>15</w:t>
                    </w:r>
                  </w:p>
                </w:tc>
              </w:tr>
              <w:tr w:rsidR="004F7F10" w:rsidRPr="004F7F10" w14:paraId="5B0371A6"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69010AD7" w14:textId="77777777" w:rsidR="004F7F10" w:rsidRPr="004F7F10" w:rsidRDefault="004F7F10" w:rsidP="004F7F10">
                    <w:pPr>
                      <w:rPr>
                        <w:lang w:val="en-IE"/>
                      </w:rPr>
                    </w:pPr>
                    <w:r w:rsidRPr="004F7F10">
                      <w:rPr>
                        <w:lang w:val="en-IE"/>
                      </w:rPr>
                      <w:t>Waterford </w:t>
                    </w:r>
                  </w:p>
                </w:tc>
                <w:tc>
                  <w:tcPr>
                    <w:tcW w:w="2591" w:type="dxa"/>
                    <w:tcBorders>
                      <w:top w:val="nil"/>
                      <w:left w:val="nil"/>
                      <w:bottom w:val="single" w:sz="4" w:space="0" w:color="auto"/>
                      <w:right w:val="single" w:sz="4" w:space="0" w:color="auto"/>
                    </w:tcBorders>
                    <w:vAlign w:val="bottom"/>
                    <w:hideMark/>
                  </w:tcPr>
                  <w:p w14:paraId="6809CCD2" w14:textId="20778E84" w:rsidR="004F7F10" w:rsidRPr="004F7F10" w:rsidRDefault="001D6C9C" w:rsidP="004F7F10">
                    <w:pPr>
                      <w:rPr>
                        <w:lang w:val="en-IE"/>
                      </w:rPr>
                    </w:pPr>
                    <w:r>
                      <w:rPr>
                        <w:lang w:val="en-IE"/>
                      </w:rPr>
                      <w:t>15</w:t>
                    </w:r>
                  </w:p>
                </w:tc>
              </w:tr>
              <w:tr w:rsidR="004F7F10" w:rsidRPr="005C5508" w14:paraId="377DE3C7" w14:textId="77777777" w:rsidTr="005C5508">
                <w:trPr>
                  <w:trHeight w:val="285"/>
                </w:trPr>
                <w:tc>
                  <w:tcPr>
                    <w:tcW w:w="1515" w:type="dxa"/>
                    <w:tcBorders>
                      <w:top w:val="nil"/>
                      <w:left w:val="single" w:sz="4" w:space="0" w:color="auto"/>
                      <w:bottom w:val="single" w:sz="4" w:space="0" w:color="auto"/>
                      <w:right w:val="single" w:sz="4" w:space="0" w:color="auto"/>
                    </w:tcBorders>
                    <w:vAlign w:val="center"/>
                    <w:hideMark/>
                  </w:tcPr>
                  <w:p w14:paraId="2E2BD395" w14:textId="77777777" w:rsidR="004F7F10" w:rsidRPr="004F7F10" w:rsidRDefault="004F7F10" w:rsidP="004F7F10">
                    <w:pPr>
                      <w:rPr>
                        <w:lang w:val="en-IE"/>
                      </w:rPr>
                    </w:pPr>
                    <w:r w:rsidRPr="004F7F10">
                      <w:rPr>
                        <w:lang w:val="en-IE"/>
                      </w:rPr>
                      <w:t>Revenue DC </w:t>
                    </w:r>
                  </w:p>
                </w:tc>
                <w:tc>
                  <w:tcPr>
                    <w:tcW w:w="2591" w:type="dxa"/>
                    <w:tcBorders>
                      <w:top w:val="nil"/>
                      <w:left w:val="nil"/>
                      <w:bottom w:val="single" w:sz="4" w:space="0" w:color="auto"/>
                      <w:right w:val="single" w:sz="4" w:space="0" w:color="auto"/>
                    </w:tcBorders>
                    <w:vAlign w:val="bottom"/>
                    <w:hideMark/>
                  </w:tcPr>
                  <w:p w14:paraId="6260D2A5" w14:textId="597344DB" w:rsidR="004F7F10" w:rsidRPr="004F7F10" w:rsidRDefault="005C5508" w:rsidP="004F7F10">
                    <w:pPr>
                      <w:rPr>
                        <w:lang w:val="en-IE"/>
                      </w:rPr>
                    </w:pPr>
                    <w:r>
                      <w:rPr>
                        <w:lang w:val="en-IE"/>
                      </w:rPr>
                      <w:t>VPN and OCGIO connection backup</w:t>
                    </w:r>
                  </w:p>
                </w:tc>
              </w:tr>
            </w:tbl>
            <w:p w14:paraId="3B164DB1" w14:textId="734AF546" w:rsidR="004F7F10" w:rsidRPr="005C5508" w:rsidRDefault="00DF1AB5" w:rsidP="008754E6">
              <w:pPr>
                <w:rPr>
                  <w:b/>
                  <w:bCs/>
                  <w:i/>
                  <w:iCs/>
                  <w:sz w:val="20"/>
                  <w:szCs w:val="20"/>
                  <w:lang w:val="en-IE"/>
                </w:rPr>
              </w:pPr>
              <w:r w:rsidRPr="005C5508">
                <w:rPr>
                  <w:b/>
                  <w:bCs/>
                  <w:i/>
                  <w:iCs/>
                  <w:sz w:val="20"/>
                  <w:szCs w:val="20"/>
                  <w:lang w:val="en-IE"/>
                </w:rPr>
                <w:t xml:space="preserve">Fig 2: </w:t>
              </w:r>
              <w:r w:rsidR="002F476F" w:rsidRPr="005C5508">
                <w:rPr>
                  <w:b/>
                  <w:bCs/>
                  <w:i/>
                  <w:iCs/>
                  <w:sz w:val="20"/>
                  <w:szCs w:val="20"/>
                  <w:lang w:val="en-IE"/>
                </w:rPr>
                <w:t>Breakdown of staff in Regional Offices</w:t>
              </w:r>
            </w:p>
            <w:p w14:paraId="386D8FAE" w14:textId="77777777" w:rsidR="008754E6" w:rsidRPr="005C5508" w:rsidRDefault="008754E6" w:rsidP="008754E6">
              <w:pPr>
                <w:rPr>
                  <w:sz w:val="24"/>
                  <w:lang w:val="en-IE"/>
                </w:rPr>
              </w:pPr>
              <w:r w:rsidRPr="005C5508">
                <w:rPr>
                  <w:sz w:val="24"/>
                  <w:lang w:val="en-IE"/>
                </w:rPr>
                <w:t>The scope of requirements includes the following key areas:</w:t>
              </w:r>
            </w:p>
            <w:p w14:paraId="5E2DE36C" w14:textId="77777777" w:rsidR="008754E6" w:rsidRPr="008754E6" w:rsidRDefault="006D3140" w:rsidP="008754E6">
              <w:pPr>
                <w:rPr>
                  <w:b/>
                  <w:bCs/>
                  <w:lang w:val="en-IE"/>
                </w:rPr>
              </w:pPr>
              <w:r>
                <w:rPr>
                  <w:lang w:val="en-IE"/>
                </w:rPr>
                <w:pict w14:anchorId="206E3A8E">
                  <v:rect id="_x0000_i1025" style="width:0;height:1.5pt" o:hralign="center" o:hrstd="t" o:hr="t" fillcolor="#a0a0a0" stroked="f"/>
                </w:pict>
              </w:r>
            </w:p>
            <w:p w14:paraId="217A7E94" w14:textId="031A5633" w:rsidR="008754E6" w:rsidRPr="008754E6" w:rsidRDefault="008754E6" w:rsidP="008754E6">
              <w:pPr>
                <w:rPr>
                  <w:b/>
                  <w:bCs/>
                  <w:lang w:val="en-IE"/>
                </w:rPr>
              </w:pPr>
              <w:r w:rsidRPr="008754E6">
                <w:rPr>
                  <w:b/>
                  <w:bCs/>
                  <w:lang w:val="en-IE"/>
                </w:rPr>
                <w:t>1</w:t>
              </w:r>
              <w:r w:rsidR="005C5508">
                <w:rPr>
                  <w:b/>
                  <w:bCs/>
                  <w:lang w:val="en-IE"/>
                </w:rPr>
                <w:t>.</w:t>
              </w:r>
              <w:r w:rsidRPr="008754E6">
                <w:rPr>
                  <w:b/>
                  <w:bCs/>
                  <w:lang w:val="en-IE"/>
                </w:rPr>
                <w:t xml:space="preserve"> New HQ Network Design, Build and Migration</w:t>
              </w:r>
            </w:p>
            <w:p w14:paraId="399E248A" w14:textId="77777777" w:rsidR="00F64BE8" w:rsidRDefault="008754E6" w:rsidP="008754E6">
              <w:pPr>
                <w:rPr>
                  <w:lang w:val="en-IE"/>
                </w:rPr>
              </w:pPr>
              <w:r w:rsidRPr="008754E6">
                <w:rPr>
                  <w:lang w:val="en-IE"/>
                </w:rPr>
                <w:lastRenderedPageBreak/>
                <w:t>The HSA is relocating its headquarters</w:t>
              </w:r>
              <w:r w:rsidR="00306B84">
                <w:rPr>
                  <w:lang w:val="en-IE"/>
                </w:rPr>
                <w:t xml:space="preserve"> </w:t>
              </w:r>
              <w:r w:rsidR="00E93205">
                <w:rPr>
                  <w:lang w:val="en-IE"/>
                </w:rPr>
                <w:t>from</w:t>
              </w:r>
              <w:r w:rsidR="00306B84">
                <w:rPr>
                  <w:lang w:val="en-IE"/>
                </w:rPr>
                <w:t xml:space="preserve"> James Joyce St, Dublin. </w:t>
              </w:r>
              <w:r w:rsidRPr="008754E6">
                <w:rPr>
                  <w:lang w:val="en-IE"/>
                </w:rPr>
                <w:t>The existing network operates on a hub-and-spoke model, with the HQ acting as the central hub</w:t>
              </w:r>
              <w:r w:rsidR="00A614F4">
                <w:rPr>
                  <w:lang w:val="en-IE"/>
                </w:rPr>
                <w:t xml:space="preserve"> connecting</w:t>
              </w:r>
              <w:r w:rsidRPr="008754E6">
                <w:rPr>
                  <w:lang w:val="en-IE"/>
                </w:rPr>
                <w:t xml:space="preserve"> seven regional offices and a disaster recovery (DR) site </w:t>
              </w:r>
              <w:r w:rsidR="00A614F4">
                <w:rPr>
                  <w:lang w:val="en-IE"/>
                </w:rPr>
                <w:t>(</w:t>
              </w:r>
              <w:r w:rsidRPr="008754E6">
                <w:rPr>
                  <w:lang w:val="en-IE"/>
                </w:rPr>
                <w:t>hosted by Revenue at St. John’s Road</w:t>
              </w:r>
              <w:r w:rsidR="00A614F4">
                <w:rPr>
                  <w:lang w:val="en-IE"/>
                </w:rPr>
                <w:t xml:space="preserve">) through </w:t>
              </w:r>
              <w:r w:rsidR="00EB3B84">
                <w:rPr>
                  <w:lang w:val="en-IE"/>
                </w:rPr>
                <w:t>Government Network</w:t>
              </w:r>
              <w:r w:rsidR="00A614F4">
                <w:rPr>
                  <w:lang w:val="en-IE"/>
                </w:rPr>
                <w:t>s</w:t>
              </w:r>
              <w:r w:rsidR="00EB3B84">
                <w:rPr>
                  <w:lang w:val="en-IE"/>
                </w:rPr>
                <w:t>.</w:t>
              </w:r>
              <w:r w:rsidR="00BA7046">
                <w:rPr>
                  <w:lang w:val="en-IE"/>
                </w:rPr>
                <w:t xml:space="preserve"> </w:t>
              </w:r>
            </w:p>
            <w:p w14:paraId="7356AD28" w14:textId="52344093" w:rsidR="008754E6" w:rsidRPr="008754E6" w:rsidRDefault="004F7F10" w:rsidP="008754E6">
              <w:pPr>
                <w:rPr>
                  <w:lang w:val="en-IE"/>
                </w:rPr>
              </w:pPr>
              <w:r>
                <w:rPr>
                  <w:lang w:val="en-IE"/>
                </w:rPr>
                <w:t>The existing network infrastructure consists of HPE and 3Com switches, which are either no longer supported or approaching end of life. The wireless infrastructure consists of Aruba access points, across all sites and a ClearPass solution for Network Access Control (NAC). There are 35 wireless APs across the organisation</w:t>
              </w:r>
              <w:r w:rsidR="006D4370">
                <w:rPr>
                  <w:lang w:val="en-IE"/>
                </w:rPr>
                <w:t xml:space="preserve">, 14 </w:t>
              </w:r>
              <w:r>
                <w:rPr>
                  <w:lang w:val="en-IE"/>
                </w:rPr>
                <w:t xml:space="preserve">in  HQ. Each site has a local DHCP server configured on network devices. There is dynamic routing ‘BGP; at HQ and DR. Both sites BGP with Government Network switches for route advertisement across the network. </w:t>
              </w:r>
              <w:r w:rsidR="00BA7046">
                <w:rPr>
                  <w:lang w:val="en-IE"/>
                </w:rPr>
                <w:t>There are 3 Fortigate</w:t>
              </w:r>
              <w:r w:rsidR="00BA7046" w:rsidRPr="006D4370">
                <w:rPr>
                  <w:lang w:val="en-IE"/>
                </w:rPr>
                <w:t>-200F</w:t>
              </w:r>
              <w:r w:rsidR="00BA7046">
                <w:rPr>
                  <w:lang w:val="en-IE"/>
                </w:rPr>
                <w:t xml:space="preserve"> that were installed in March 2023, two are in HQ and one is in our DR site.</w:t>
              </w:r>
              <w:r>
                <w:rPr>
                  <w:lang w:val="en-IE"/>
                </w:rPr>
                <w:t xml:space="preserve"> </w:t>
              </w:r>
            </w:p>
            <w:p w14:paraId="5F3DDCFA" w14:textId="77777777" w:rsidR="008754E6" w:rsidRPr="008754E6" w:rsidRDefault="008754E6" w:rsidP="008754E6">
              <w:pPr>
                <w:rPr>
                  <w:lang w:val="en-IE"/>
                </w:rPr>
              </w:pPr>
              <w:r w:rsidRPr="008754E6">
                <w:rPr>
                  <w:lang w:val="en-IE"/>
                </w:rPr>
                <w:t>The proposed solution must:</w:t>
              </w:r>
            </w:p>
            <w:p w14:paraId="63534FFD" w14:textId="0ACAD0F8" w:rsidR="008754E6" w:rsidRDefault="008754E6" w:rsidP="008754E6">
              <w:pPr>
                <w:numPr>
                  <w:ilvl w:val="0"/>
                  <w:numId w:val="39"/>
                </w:numPr>
                <w:rPr>
                  <w:lang w:val="en-IE"/>
                </w:rPr>
              </w:pPr>
              <w:r w:rsidRPr="008754E6">
                <w:rPr>
                  <w:lang w:val="en-IE"/>
                </w:rPr>
                <w:t xml:space="preserve">Design and implement a new enterprise network </w:t>
              </w:r>
              <w:r w:rsidR="0041178E">
                <w:rPr>
                  <w:lang w:val="en-IE"/>
                </w:rPr>
                <w:t xml:space="preserve">and firewall </w:t>
              </w:r>
              <w:r w:rsidRPr="008754E6">
                <w:rPr>
                  <w:lang w:val="en-IE"/>
                </w:rPr>
                <w:t>at the new HQ location</w:t>
              </w:r>
              <w:r w:rsidR="005A6A8D">
                <w:rPr>
                  <w:lang w:val="en-IE"/>
                </w:rPr>
                <w:t xml:space="preserve"> (across two floors)</w:t>
              </w:r>
              <w:r w:rsidRPr="008754E6">
                <w:rPr>
                  <w:lang w:val="en-IE"/>
                </w:rPr>
                <w:t xml:space="preserve"> to support approximately 140 hybrid staff</w:t>
              </w:r>
              <w:r w:rsidR="009E7AB7">
                <w:rPr>
                  <w:lang w:val="en-IE"/>
                </w:rPr>
                <w:t xml:space="preserve"> in Dublin.</w:t>
              </w:r>
            </w:p>
            <w:p w14:paraId="48B2B7F0" w14:textId="2F4F852F" w:rsidR="0088507E" w:rsidRPr="0088507E" w:rsidRDefault="0088507E" w:rsidP="0088507E">
              <w:pPr>
                <w:pStyle w:val="ListParagraph"/>
                <w:numPr>
                  <w:ilvl w:val="0"/>
                  <w:numId w:val="39"/>
                </w:numPr>
                <w:spacing w:after="0" w:line="300" w:lineRule="atLeast"/>
                <w:rPr>
                  <w:rFonts w:asciiTheme="minorHAnsi" w:hAnsiTheme="minorHAnsi" w:cstheme="minorHAnsi"/>
                  <w:szCs w:val="22"/>
                  <w:lang w:val="en-IE" w:eastAsia="en-IE"/>
                </w:rPr>
              </w:pPr>
              <w:r w:rsidRPr="00842BFC">
                <w:rPr>
                  <w:rFonts w:asciiTheme="minorHAnsi" w:hAnsiTheme="minorHAnsi" w:cstheme="minorHAnsi"/>
                  <w:szCs w:val="22"/>
                  <w:lang w:val="en-IE" w:eastAsia="en-IE"/>
                </w:rPr>
                <w:t>This architecture may incorporate Secure Access Service Edge (SASE)</w:t>
              </w:r>
              <w:r w:rsidR="005A6A8D">
                <w:rPr>
                  <w:rFonts w:asciiTheme="minorHAnsi" w:hAnsiTheme="minorHAnsi" w:cstheme="minorHAnsi"/>
                  <w:szCs w:val="22"/>
                  <w:lang w:val="en-IE" w:eastAsia="en-IE"/>
                </w:rPr>
                <w:t xml:space="preserve"> </w:t>
              </w:r>
              <w:r w:rsidRPr="00842BFC">
                <w:rPr>
                  <w:rFonts w:asciiTheme="minorHAnsi" w:hAnsiTheme="minorHAnsi" w:cstheme="minorHAnsi"/>
                  <w:szCs w:val="22"/>
                  <w:lang w:val="en-IE" w:eastAsia="en-IE"/>
                </w:rPr>
                <w:t>aligned principles, or equivalent, to support secure, policy</w:t>
              </w:r>
              <w:r w:rsidRPr="00842BFC">
                <w:rPr>
                  <w:rFonts w:asciiTheme="minorHAnsi" w:hAnsiTheme="minorHAnsi" w:cstheme="minorHAnsi"/>
                  <w:szCs w:val="22"/>
                  <w:lang w:val="en-IE" w:eastAsia="en-IE"/>
                </w:rPr>
                <w:noBreakHyphen/>
                <w:t>based access for users and sites regardless of location.</w:t>
              </w:r>
              <w:r w:rsidR="0041178E">
                <w:rPr>
                  <w:rFonts w:asciiTheme="minorHAnsi" w:hAnsiTheme="minorHAnsi" w:cstheme="minorHAnsi"/>
                  <w:szCs w:val="22"/>
                  <w:lang w:val="en-IE" w:eastAsia="en-IE"/>
                </w:rPr>
                <w:t xml:space="preserve"> HSA staff regularly travel to Europe for EU engagements. </w:t>
              </w:r>
              <w:r w:rsidR="0041178E">
                <w:rPr>
                  <w:rFonts w:asciiTheme="minorHAnsi" w:hAnsiTheme="minorHAnsi" w:cstheme="minorHAnsi"/>
                  <w:szCs w:val="22"/>
                  <w:lang w:val="en-IE" w:eastAsia="en-IE"/>
                </w:rPr>
                <w:br/>
              </w:r>
            </w:p>
            <w:p w14:paraId="0E308FB4" w14:textId="77777777" w:rsidR="008754E6" w:rsidRPr="008754E6" w:rsidRDefault="008754E6" w:rsidP="008754E6">
              <w:pPr>
                <w:numPr>
                  <w:ilvl w:val="0"/>
                  <w:numId w:val="39"/>
                </w:numPr>
                <w:rPr>
                  <w:lang w:val="en-IE"/>
                </w:rPr>
              </w:pPr>
              <w:r w:rsidRPr="008754E6">
                <w:rPr>
                  <w:lang w:val="en-IE"/>
                </w:rPr>
                <w:t>Facilitate the migration of all regional offices and the DR site to the new HQ network.</w:t>
              </w:r>
            </w:p>
            <w:p w14:paraId="7805AA5A" w14:textId="77777777" w:rsidR="008754E6" w:rsidRPr="008754E6" w:rsidRDefault="008754E6" w:rsidP="008754E6">
              <w:pPr>
                <w:numPr>
                  <w:ilvl w:val="0"/>
                  <w:numId w:val="39"/>
                </w:numPr>
                <w:rPr>
                  <w:lang w:val="en-IE"/>
                </w:rPr>
              </w:pPr>
              <w:r w:rsidRPr="008754E6">
                <w:rPr>
                  <w:lang w:val="en-IE"/>
                </w:rPr>
                <w:t>Support a controlled transition with minimal disruption to business operations.</w:t>
              </w:r>
            </w:p>
            <w:p w14:paraId="0C654738" w14:textId="77777777" w:rsidR="008754E6" w:rsidRPr="008754E6" w:rsidRDefault="008754E6" w:rsidP="008754E6">
              <w:pPr>
                <w:numPr>
                  <w:ilvl w:val="0"/>
                  <w:numId w:val="39"/>
                </w:numPr>
                <w:rPr>
                  <w:lang w:val="en-IE"/>
                </w:rPr>
              </w:pPr>
              <w:r w:rsidRPr="008754E6">
                <w:rPr>
                  <w:lang w:val="en-IE"/>
                </w:rPr>
                <w:t>Enable the secure decommissioning of the existing HQ network infrastructure.</w:t>
              </w:r>
            </w:p>
            <w:p w14:paraId="2469E106" w14:textId="77777777" w:rsidR="008754E6" w:rsidRDefault="008754E6" w:rsidP="008754E6">
              <w:pPr>
                <w:numPr>
                  <w:ilvl w:val="0"/>
                  <w:numId w:val="39"/>
                </w:numPr>
                <w:rPr>
                  <w:lang w:val="en-IE"/>
                </w:rPr>
              </w:pPr>
              <w:r w:rsidRPr="008754E6">
                <w:rPr>
                  <w:lang w:val="en-IE"/>
                </w:rPr>
                <w:t>Provide secure wired and wireless access, including segregated staff and guest wireless networks.</w:t>
              </w:r>
            </w:p>
            <w:p w14:paraId="397B3A62" w14:textId="77777777" w:rsidR="0012568B" w:rsidRPr="008754E6" w:rsidRDefault="0012568B" w:rsidP="0013106C">
              <w:pPr>
                <w:ind w:left="720"/>
                <w:rPr>
                  <w:lang w:val="en-IE"/>
                </w:rPr>
              </w:pPr>
            </w:p>
            <w:p w14:paraId="2C500F59" w14:textId="122DC447" w:rsidR="008754E6" w:rsidRPr="008754E6" w:rsidRDefault="006D3140" w:rsidP="008754E6">
              <w:pPr>
                <w:rPr>
                  <w:b/>
                  <w:bCs/>
                  <w:lang w:val="en-IE"/>
                </w:rPr>
              </w:pPr>
              <w:r>
                <w:rPr>
                  <w:lang w:val="en-IE"/>
                </w:rPr>
                <w:pict w14:anchorId="3FC92C88">
                  <v:rect id="_x0000_i1026" style="width:0;height:1.5pt" o:hralign="center" o:hrstd="t" o:hr="t" fillcolor="#a0a0a0" stroked="f"/>
                </w:pict>
              </w:r>
            </w:p>
            <w:p w14:paraId="166999CF" w14:textId="736C83AD" w:rsidR="008754E6" w:rsidRPr="008754E6" w:rsidRDefault="008754E6" w:rsidP="008754E6">
              <w:pPr>
                <w:rPr>
                  <w:b/>
                  <w:bCs/>
                  <w:lang w:val="en-IE"/>
                </w:rPr>
              </w:pPr>
              <w:r w:rsidRPr="008754E6">
                <w:rPr>
                  <w:b/>
                  <w:bCs/>
                  <w:lang w:val="en-IE"/>
                </w:rPr>
                <w:t>1.</w:t>
              </w:r>
              <w:r w:rsidR="00781E82">
                <w:rPr>
                  <w:b/>
                  <w:bCs/>
                  <w:lang w:val="en-IE"/>
                </w:rPr>
                <w:t xml:space="preserve">2 </w:t>
              </w:r>
              <w:r w:rsidRPr="008754E6">
                <w:rPr>
                  <w:b/>
                  <w:bCs/>
                  <w:lang w:val="en-IE"/>
                </w:rPr>
                <w:t>Support, Maintenance, Network Monitoring and Alerts</w:t>
              </w:r>
            </w:p>
            <w:p w14:paraId="6C3E50D2" w14:textId="35300ED4" w:rsidR="008754E6" w:rsidRPr="008754E6" w:rsidRDefault="008754E6" w:rsidP="008754E6">
              <w:pPr>
                <w:rPr>
                  <w:lang w:val="en-IE"/>
                </w:rPr>
              </w:pPr>
              <w:r w:rsidRPr="008754E6">
                <w:rPr>
                  <w:lang w:val="en-IE"/>
                </w:rPr>
                <w:t>The network must be fully supported and maintained for the duration of the contract</w:t>
              </w:r>
              <w:r w:rsidR="0040402B">
                <w:rPr>
                  <w:lang w:val="en-IE"/>
                </w:rPr>
                <w:t xml:space="preserve">. </w:t>
              </w:r>
              <w:r w:rsidR="002E2918">
                <w:rPr>
                  <w:lang w:val="en-IE"/>
                </w:rPr>
                <w:t>The Authority requires</w:t>
              </w:r>
              <w:r w:rsidR="00EF64BD">
                <w:rPr>
                  <w:lang w:val="en-IE"/>
                </w:rPr>
                <w:t xml:space="preserve"> a networking monitoring tool that integrates with </w:t>
              </w:r>
              <w:r w:rsidR="0040402B">
                <w:rPr>
                  <w:lang w:val="en-IE"/>
                </w:rPr>
                <w:t>ServiceDesk Plus</w:t>
              </w:r>
              <w:r w:rsidR="00EF64BD">
                <w:rPr>
                  <w:lang w:val="en-IE"/>
                </w:rPr>
                <w:t xml:space="preserve"> ISTM software. </w:t>
              </w:r>
            </w:p>
            <w:p w14:paraId="2DAF7217" w14:textId="77777777" w:rsidR="008754E6" w:rsidRPr="008754E6" w:rsidRDefault="008754E6" w:rsidP="008754E6">
              <w:pPr>
                <w:rPr>
                  <w:lang w:val="en-IE"/>
                </w:rPr>
              </w:pPr>
              <w:r w:rsidRPr="008754E6">
                <w:rPr>
                  <w:lang w:val="en-IE"/>
                </w:rPr>
                <w:t>This includes:</w:t>
              </w:r>
            </w:p>
            <w:p w14:paraId="3EB8A21D" w14:textId="10CD5601" w:rsidR="008754E6" w:rsidRPr="008754E6" w:rsidRDefault="00040635" w:rsidP="008754E6">
              <w:pPr>
                <w:numPr>
                  <w:ilvl w:val="0"/>
                  <w:numId w:val="41"/>
                </w:numPr>
                <w:rPr>
                  <w:lang w:val="en-IE"/>
                </w:rPr>
              </w:pPr>
              <w:r>
                <w:rPr>
                  <w:lang w:val="en-IE"/>
                </w:rPr>
                <w:t>Centralised and p</w:t>
              </w:r>
              <w:r w:rsidR="008754E6" w:rsidRPr="008754E6">
                <w:rPr>
                  <w:lang w:val="en-IE"/>
                </w:rPr>
                <w:t>roactive monitoring of network performance, availability, and security.</w:t>
              </w:r>
            </w:p>
            <w:p w14:paraId="4C30107F" w14:textId="2B7104A4" w:rsidR="008754E6" w:rsidRPr="008754E6" w:rsidRDefault="006D4370" w:rsidP="008754E6">
              <w:pPr>
                <w:numPr>
                  <w:ilvl w:val="0"/>
                  <w:numId w:val="41"/>
                </w:numPr>
                <w:rPr>
                  <w:lang w:val="en-IE"/>
                </w:rPr>
              </w:pPr>
              <w:r>
                <w:rPr>
                  <w:lang w:val="en-IE"/>
                </w:rPr>
                <w:t>Support automated a</w:t>
              </w:r>
              <w:r w:rsidR="008754E6" w:rsidRPr="008754E6">
                <w:rPr>
                  <w:lang w:val="en-IE"/>
                </w:rPr>
                <w:t>lerting</w:t>
              </w:r>
              <w:r>
                <w:rPr>
                  <w:lang w:val="en-IE"/>
                </w:rPr>
                <w:t xml:space="preserve"> and</w:t>
              </w:r>
              <w:r w:rsidR="008754E6" w:rsidRPr="008754E6">
                <w:rPr>
                  <w:lang w:val="en-IE"/>
                </w:rPr>
                <w:t xml:space="preserve"> incident </w:t>
              </w:r>
              <w:r>
                <w:rPr>
                  <w:lang w:val="en-IE"/>
                </w:rPr>
                <w:t xml:space="preserve">response procedures for critical, major, and minor incidents. </w:t>
              </w:r>
            </w:p>
            <w:p w14:paraId="6AF5A96E" w14:textId="77777777" w:rsidR="008754E6" w:rsidRDefault="008754E6" w:rsidP="008754E6">
              <w:pPr>
                <w:numPr>
                  <w:ilvl w:val="0"/>
                  <w:numId w:val="41"/>
                </w:numPr>
                <w:rPr>
                  <w:lang w:val="en-IE"/>
                </w:rPr>
              </w:pPr>
              <w:r w:rsidRPr="008754E6">
                <w:rPr>
                  <w:lang w:val="en-IE"/>
                </w:rPr>
                <w:t>Ongoing maintenance and support in line with agreed Service Level Agreements (SLAs).</w:t>
              </w:r>
            </w:p>
            <w:p w14:paraId="0DBBD5BC" w14:textId="7027467C" w:rsidR="006D4370" w:rsidRPr="008754E6" w:rsidRDefault="006D4370" w:rsidP="008754E6">
              <w:pPr>
                <w:numPr>
                  <w:ilvl w:val="0"/>
                  <w:numId w:val="41"/>
                </w:numPr>
                <w:rPr>
                  <w:lang w:val="en-IE"/>
                </w:rPr>
              </w:pPr>
              <w:r>
                <w:rPr>
                  <w:lang w:val="en-IE"/>
                </w:rPr>
                <w:t xml:space="preserve">Support for planned changes, upgrades, and expansion of the network environment where required. </w:t>
              </w:r>
            </w:p>
            <w:p w14:paraId="6D71E43C" w14:textId="77777777" w:rsidR="008754E6" w:rsidRDefault="008754E6" w:rsidP="008754E6">
              <w:pPr>
                <w:numPr>
                  <w:ilvl w:val="0"/>
                  <w:numId w:val="41"/>
                </w:numPr>
                <w:rPr>
                  <w:lang w:val="en-IE"/>
                </w:rPr>
              </w:pPr>
              <w:r w:rsidRPr="008754E6">
                <w:rPr>
                  <w:lang w:val="en-IE"/>
                </w:rPr>
                <w:t>A structured approach to continuous improvement to enhance security, performance, and user experience over time.</w:t>
              </w:r>
            </w:p>
            <w:p w14:paraId="56DE7AD6" w14:textId="20A1CD15" w:rsidR="00B61D4A" w:rsidRDefault="006D3140" w:rsidP="00B61D4A">
              <w:pPr>
                <w:rPr>
                  <w:lang w:val="en-IE"/>
                </w:rPr>
              </w:pPr>
              <w:r>
                <w:rPr>
                  <w:lang w:val="en-IE"/>
                </w:rPr>
                <w:pict w14:anchorId="7998659B">
                  <v:rect id="_x0000_i1027" style="width:440.4pt;height:1.6pt" o:hrpct="971" o:hralign="center" o:hrstd="t" o:hr="t" fillcolor="#a0a0a0" stroked="f"/>
                </w:pict>
              </w:r>
            </w:p>
            <w:p w14:paraId="4A04F798" w14:textId="6039E3C8" w:rsidR="00B61D4A" w:rsidRPr="00B61D4A" w:rsidRDefault="00781E82" w:rsidP="00B61D4A">
              <w:pPr>
                <w:rPr>
                  <w:b/>
                  <w:bCs/>
                  <w:lang w:val="en-IE"/>
                </w:rPr>
              </w:pPr>
              <w:r>
                <w:rPr>
                  <w:b/>
                  <w:bCs/>
                  <w:lang w:val="en-IE"/>
                </w:rPr>
                <w:t>2.</w:t>
              </w:r>
              <w:r w:rsidR="00B61D4A" w:rsidRPr="00B61D4A">
                <w:rPr>
                  <w:b/>
                  <w:bCs/>
                  <w:lang w:val="en-IE"/>
                </w:rPr>
                <w:t xml:space="preserve"> Implementation Timeline</w:t>
              </w:r>
            </w:p>
            <w:p w14:paraId="3B9B4CA0" w14:textId="77777777" w:rsidR="00B61D4A" w:rsidRPr="00B61D4A" w:rsidRDefault="00B61D4A" w:rsidP="00B61D4A">
              <w:pPr>
                <w:rPr>
                  <w:lang w:val="en-IE"/>
                </w:rPr>
              </w:pPr>
              <w:r w:rsidRPr="00B61D4A">
                <w:rPr>
                  <w:lang w:val="en-IE"/>
                </w:rPr>
                <w:lastRenderedPageBreak/>
                <w:t>The HSA requires delivery of the core network infrastructure within defined timeframes to support organisational operations and the HQ relocation programme.</w:t>
              </w:r>
            </w:p>
            <w:p w14:paraId="134EB22D" w14:textId="12895A7C" w:rsidR="00B61D4A" w:rsidRPr="006862EC" w:rsidRDefault="00B61D4A" w:rsidP="006862EC">
              <w:pPr>
                <w:numPr>
                  <w:ilvl w:val="0"/>
                  <w:numId w:val="42"/>
                </w:numPr>
                <w:rPr>
                  <w:lang w:val="en-IE"/>
                </w:rPr>
              </w:pPr>
              <w:r w:rsidRPr="00B61D4A">
                <w:rPr>
                  <w:lang w:val="en-IE"/>
                </w:rPr>
                <w:t xml:space="preserve">The </w:t>
              </w:r>
              <w:r w:rsidR="002B0E22">
                <w:rPr>
                  <w:lang w:val="en-IE"/>
                </w:rPr>
                <w:t xml:space="preserve">basic </w:t>
              </w:r>
              <w:r w:rsidRPr="00B61D4A">
                <w:rPr>
                  <w:lang w:val="en-IE"/>
                </w:rPr>
                <w:t>network infrastructure</w:t>
              </w:r>
              <w:r w:rsidR="00F723F1">
                <w:rPr>
                  <w:lang w:val="en-IE"/>
                </w:rPr>
                <w:t xml:space="preserve"> in the new HQ</w:t>
              </w:r>
              <w:r w:rsidRPr="00B61D4A">
                <w:rPr>
                  <w:lang w:val="en-IE"/>
                </w:rPr>
                <w:t xml:space="preserve"> must be fully operational </w:t>
              </w:r>
              <w:r w:rsidR="006862EC">
                <w:rPr>
                  <w:lang w:val="en-IE"/>
                </w:rPr>
                <w:t>for</w:t>
              </w:r>
              <w:r w:rsidR="006862EC" w:rsidRPr="00B61D4A">
                <w:rPr>
                  <w:lang w:val="en-IE"/>
                </w:rPr>
                <w:t xml:space="preserve"> </w:t>
              </w:r>
              <w:r w:rsidR="005C5508">
                <w:rPr>
                  <w:lang w:val="en-IE"/>
                </w:rPr>
                <w:t xml:space="preserve">network </w:t>
              </w:r>
              <w:r w:rsidR="006862EC" w:rsidRPr="00B61D4A">
                <w:rPr>
                  <w:lang w:val="en-IE"/>
                </w:rPr>
                <w:t xml:space="preserve">connectivity </w:t>
              </w:r>
              <w:r w:rsidRPr="00B61D4A">
                <w:rPr>
                  <w:lang w:val="en-IE"/>
                </w:rPr>
                <w:t xml:space="preserve">no later than </w:t>
              </w:r>
              <w:r w:rsidRPr="00B61D4A">
                <w:rPr>
                  <w:b/>
                  <w:bCs/>
                  <w:lang w:val="en-IE"/>
                </w:rPr>
                <w:t xml:space="preserve">1 September </w:t>
              </w:r>
              <w:r w:rsidR="0035337C">
                <w:rPr>
                  <w:b/>
                  <w:bCs/>
                  <w:lang w:val="en-IE"/>
                </w:rPr>
                <w:t>2026.</w:t>
              </w:r>
              <w:r w:rsidR="006862EC">
                <w:rPr>
                  <w:lang w:val="en-IE"/>
                </w:rPr>
                <w:t xml:space="preserve"> </w:t>
              </w:r>
              <w:r w:rsidRPr="006862EC">
                <w:rPr>
                  <w:lang w:val="en-IE"/>
                </w:rPr>
                <w:t xml:space="preserve">This milestone relates to the availability of core network services, enabling: </w:t>
              </w:r>
            </w:p>
            <w:p w14:paraId="4D16361F" w14:textId="77777777" w:rsidR="00B61D4A" w:rsidRPr="00B61D4A" w:rsidRDefault="00B61D4A" w:rsidP="00B61D4A">
              <w:pPr>
                <w:numPr>
                  <w:ilvl w:val="1"/>
                  <w:numId w:val="42"/>
                </w:numPr>
                <w:rPr>
                  <w:lang w:val="en-IE"/>
                </w:rPr>
              </w:pPr>
              <w:r w:rsidRPr="00B61D4A">
                <w:rPr>
                  <w:lang w:val="en-IE"/>
                </w:rPr>
                <w:t>Hybrid working for HQ-based staff.</w:t>
              </w:r>
            </w:p>
            <w:p w14:paraId="682731EE" w14:textId="7E08E849" w:rsidR="00B61D4A" w:rsidRPr="00B61D4A" w:rsidRDefault="00B61D4A" w:rsidP="00B61D4A">
              <w:pPr>
                <w:numPr>
                  <w:ilvl w:val="1"/>
                  <w:numId w:val="42"/>
                </w:numPr>
                <w:rPr>
                  <w:lang w:val="en-IE"/>
                </w:rPr>
              </w:pPr>
              <w:r w:rsidRPr="00B61D4A">
                <w:rPr>
                  <w:lang w:val="en-IE"/>
                </w:rPr>
                <w:t>Continued connectivity and operations for all regional offices</w:t>
              </w:r>
              <w:r w:rsidR="005C5508">
                <w:rPr>
                  <w:lang w:val="en-IE"/>
                </w:rPr>
                <w:t xml:space="preserve"> and DR</w:t>
              </w:r>
              <w:r w:rsidR="00732B93">
                <w:rPr>
                  <w:lang w:val="en-IE"/>
                </w:rPr>
                <w:t>, in their current state.</w:t>
              </w:r>
            </w:p>
            <w:p w14:paraId="42B35C2A" w14:textId="042BABE6" w:rsidR="00B61D4A" w:rsidRPr="00B61D4A" w:rsidRDefault="00B61D4A" w:rsidP="00B61D4A">
              <w:pPr>
                <w:numPr>
                  <w:ilvl w:val="0"/>
                  <w:numId w:val="42"/>
                </w:numPr>
                <w:rPr>
                  <w:lang w:val="en-IE"/>
                </w:rPr>
              </w:pPr>
              <w:r w:rsidRPr="00B61D4A">
                <w:rPr>
                  <w:lang w:val="en-IE"/>
                </w:rPr>
                <w:t>Physical occupancy of the new HQ will occur at a later dat</w:t>
              </w:r>
              <w:r w:rsidR="00EA5A45">
                <w:rPr>
                  <w:lang w:val="en-IE"/>
                </w:rPr>
                <w:t>e</w:t>
              </w:r>
              <w:r w:rsidRPr="00B61D4A">
                <w:rPr>
                  <w:lang w:val="en-IE"/>
                </w:rPr>
                <w:t xml:space="preserve">; </w:t>
              </w:r>
              <w:r w:rsidR="00B40EA2">
                <w:rPr>
                  <w:lang w:val="en-IE"/>
                </w:rPr>
                <w:t>hence WIFI</w:t>
              </w:r>
              <w:r w:rsidR="00D80B9F">
                <w:rPr>
                  <w:lang w:val="en-IE"/>
                </w:rPr>
                <w:t xml:space="preserve"> and wired network points are not immediately urgent. </w:t>
              </w:r>
            </w:p>
            <w:p w14:paraId="75E395E4" w14:textId="77777777" w:rsidR="00B61D4A" w:rsidRPr="00B61D4A" w:rsidRDefault="00B61D4A" w:rsidP="00B61D4A">
              <w:pPr>
                <w:numPr>
                  <w:ilvl w:val="0"/>
                  <w:numId w:val="42"/>
                </w:numPr>
                <w:rPr>
                  <w:lang w:val="en-IE"/>
                </w:rPr>
              </w:pPr>
              <w:r w:rsidRPr="00B61D4A">
                <w:rPr>
                  <w:lang w:val="en-IE"/>
                </w:rPr>
                <w:t>The supplier must support a controlled transition to this interim operational state, ensuring minimal disruption to existing services.</w:t>
              </w:r>
            </w:p>
            <w:p w14:paraId="0FEC791C" w14:textId="0B8758F7" w:rsidR="00B61D4A" w:rsidRDefault="00B61D4A" w:rsidP="00B61D4A">
              <w:pPr>
                <w:numPr>
                  <w:ilvl w:val="0"/>
                  <w:numId w:val="42"/>
                </w:numPr>
                <w:rPr>
                  <w:lang w:val="en-IE"/>
                </w:rPr>
              </w:pPr>
              <w:r w:rsidRPr="00B61D4A">
                <w:rPr>
                  <w:lang w:val="en-IE"/>
                </w:rPr>
                <w:t>Tenderers shall provide a detailed implementation plan, including key milestones, dependencies, and risk mitigation measures to ensure delivery within the required timeframe.</w:t>
              </w:r>
            </w:p>
            <w:p w14:paraId="00622B15" w14:textId="6D356B3A" w:rsidR="00781E82" w:rsidRPr="0035337C" w:rsidRDefault="006D3140" w:rsidP="00781E82">
              <w:pPr>
                <w:rPr>
                  <w:lang w:val="en-IE"/>
                </w:rPr>
              </w:pPr>
              <w:r>
                <w:rPr>
                  <w:lang w:val="en-IE"/>
                </w:rPr>
                <w:pict w14:anchorId="35147767">
                  <v:rect id="_x0000_i1028" style="width:0;height:1.5pt" o:hralign="center" o:hrstd="t" o:hr="t" fillcolor="#a0a0a0" stroked="f"/>
                </w:pict>
              </w:r>
            </w:p>
            <w:p w14:paraId="3CA395F6" w14:textId="20F443B0" w:rsidR="00781E82" w:rsidRPr="00FF7F9E" w:rsidRDefault="00FF7F9E" w:rsidP="00FF7F9E">
              <w:pPr>
                <w:rPr>
                  <w:b/>
                  <w:bCs/>
                  <w:lang w:val="en-IE"/>
                </w:rPr>
              </w:pPr>
              <w:r>
                <w:rPr>
                  <w:b/>
                  <w:bCs/>
                  <w:lang w:val="en-IE"/>
                </w:rPr>
                <w:t>3. Fu</w:t>
              </w:r>
              <w:r w:rsidR="00C244C1">
                <w:rPr>
                  <w:b/>
                  <w:bCs/>
                  <w:lang w:val="en-IE"/>
                </w:rPr>
                <w:t xml:space="preserve">ture Projects- </w:t>
              </w:r>
              <w:r w:rsidR="00781E82" w:rsidRPr="00FF7F9E">
                <w:rPr>
                  <w:b/>
                  <w:bCs/>
                  <w:lang w:val="en-IE"/>
                </w:rPr>
                <w:t xml:space="preserve"> Network Refresh to Regional Sites</w:t>
              </w:r>
            </w:p>
            <w:p w14:paraId="73C840B4" w14:textId="77777777" w:rsidR="00224E17" w:rsidRPr="00224E17" w:rsidRDefault="00224E17" w:rsidP="00224E17">
              <w:pPr>
                <w:rPr>
                  <w:lang w:val="en-IE"/>
                </w:rPr>
              </w:pPr>
              <w:r w:rsidRPr="00224E17">
                <w:rPr>
                  <w:lang w:val="en-IE"/>
                </w:rPr>
                <w:t>Following the successful implementation of the new Headquarters network, the Authority may, subject to business need, funding availability, and internal approvals, consider undertaking a phased refresh of network infrastructure at its regional offices.</w:t>
              </w:r>
            </w:p>
            <w:p w14:paraId="64673C37" w14:textId="77777777" w:rsidR="00224E17" w:rsidRPr="00224E17" w:rsidRDefault="00224E17" w:rsidP="00224E17">
              <w:pPr>
                <w:rPr>
                  <w:lang w:val="en-IE"/>
                </w:rPr>
              </w:pPr>
              <w:r w:rsidRPr="00224E17">
                <w:rPr>
                  <w:lang w:val="en-IE"/>
                </w:rPr>
                <w:t>While the services described in this tender are intended to support the Authority’s existing and foreseeable network environment, no commitment is given that any future network refresh or enhancement projects will be awarded under this contract. The Authority expressly reserves the right to determine, at its sole discretion, the appropriate procurement approach for any such future works, including the option to conduct a separate tender or procurement exercise.</w:t>
              </w:r>
            </w:p>
            <w:p w14:paraId="677DE983" w14:textId="77777777" w:rsidR="00224E17" w:rsidRPr="00224E17" w:rsidRDefault="00224E17" w:rsidP="00224E17">
              <w:pPr>
                <w:rPr>
                  <w:lang w:val="en-IE"/>
                </w:rPr>
              </w:pPr>
              <w:r w:rsidRPr="00224E17">
                <w:rPr>
                  <w:lang w:val="en-IE"/>
                </w:rPr>
                <w:t>Accordingly, tenderers are not required to include pricing, resourcing, or delivery proposals for any future regional network refresh activities as part of this tender submission. Any such projects, if progressed, would be subject to separate scoping, engagement, approval, and contractual arrangements.</w:t>
              </w:r>
            </w:p>
            <w:p w14:paraId="64743721" w14:textId="77777777" w:rsidR="00224E17" w:rsidRPr="00224E17" w:rsidRDefault="00224E17" w:rsidP="00224E17">
              <w:pPr>
                <w:rPr>
                  <w:lang w:val="en-IE"/>
                </w:rPr>
              </w:pPr>
              <w:r w:rsidRPr="00224E17">
                <w:rPr>
                  <w:lang w:val="en-IE"/>
                </w:rPr>
                <w:t>By way of non</w:t>
              </w:r>
              <w:r w:rsidRPr="00224E17">
                <w:rPr>
                  <w:lang w:val="en-IE"/>
                </w:rPr>
                <w:noBreakHyphen/>
                <w:t>exhaustive indication only, potential future activities could include:</w:t>
              </w:r>
            </w:p>
            <w:p w14:paraId="5973E672" w14:textId="77777777" w:rsidR="00224E17" w:rsidRPr="00224E17" w:rsidRDefault="00224E17" w:rsidP="00224E17">
              <w:pPr>
                <w:numPr>
                  <w:ilvl w:val="0"/>
                  <w:numId w:val="43"/>
                </w:numPr>
                <w:rPr>
                  <w:lang w:val="en-IE"/>
                </w:rPr>
              </w:pPr>
              <w:r w:rsidRPr="00224E17">
                <w:rPr>
                  <w:lang w:val="en-IE"/>
                </w:rPr>
                <w:t>Refreshing or replacing network equipment and configurations to align with the Authority’s evolving enterprise network architecture.</w:t>
              </w:r>
            </w:p>
            <w:p w14:paraId="4E5C8E1D" w14:textId="77777777" w:rsidR="00224E17" w:rsidRPr="00224E17" w:rsidRDefault="00224E17" w:rsidP="00224E17">
              <w:pPr>
                <w:numPr>
                  <w:ilvl w:val="0"/>
                  <w:numId w:val="43"/>
                </w:numPr>
                <w:rPr>
                  <w:lang w:val="en-IE"/>
                </w:rPr>
              </w:pPr>
              <w:r w:rsidRPr="00224E17">
                <w:rPr>
                  <w:lang w:val="en-IE"/>
                </w:rPr>
                <w:t>Promoting a consistent approach to security, performance, resilience, and operational management across locations.</w:t>
              </w:r>
            </w:p>
            <w:p w14:paraId="4FC4BB30" w14:textId="77777777" w:rsidR="00224E17" w:rsidRPr="00224E17" w:rsidRDefault="00224E17" w:rsidP="00224E17">
              <w:pPr>
                <w:numPr>
                  <w:ilvl w:val="0"/>
                  <w:numId w:val="43"/>
                </w:numPr>
                <w:rPr>
                  <w:lang w:val="en-IE"/>
                </w:rPr>
              </w:pPr>
              <w:r w:rsidRPr="00224E17">
                <w:rPr>
                  <w:lang w:val="en-IE"/>
                </w:rPr>
                <w:t>Planning and implementing changes in a manner that seeks to minimise disruption to business operations.</w:t>
              </w:r>
            </w:p>
            <w:p w14:paraId="2CD6C500" w14:textId="59B20A37" w:rsidR="00611982" w:rsidRPr="00F64BE8" w:rsidRDefault="00611982" w:rsidP="00611982">
              <w:pPr>
                <w:rPr>
                  <w:sz w:val="28"/>
                  <w:szCs w:val="28"/>
                  <w:lang w:val="en-IE"/>
                </w:rPr>
              </w:pPr>
            </w:p>
            <w:p w14:paraId="3415BF27" w14:textId="4462E293" w:rsidR="00224E17" w:rsidRPr="00F64BE8" w:rsidRDefault="00224E17" w:rsidP="00611982">
              <w:pPr>
                <w:rPr>
                  <w:b/>
                  <w:bCs/>
                  <w:sz w:val="28"/>
                  <w:szCs w:val="28"/>
                  <w:lang w:val="en-IE"/>
                </w:rPr>
              </w:pPr>
              <w:r w:rsidRPr="00F64BE8">
                <w:rPr>
                  <w:b/>
                  <w:bCs/>
                  <w:sz w:val="28"/>
                  <w:szCs w:val="28"/>
                  <w:lang w:val="en-IE"/>
                </w:rPr>
                <w:t xml:space="preserve">See </w:t>
              </w:r>
              <w:r w:rsidR="00F64BE8">
                <w:rPr>
                  <w:b/>
                  <w:bCs/>
                  <w:sz w:val="28"/>
                  <w:szCs w:val="28"/>
                  <w:lang w:val="en-IE"/>
                </w:rPr>
                <w:t xml:space="preserve">attached </w:t>
              </w:r>
              <w:r w:rsidRPr="00F64BE8">
                <w:rPr>
                  <w:b/>
                  <w:bCs/>
                  <w:sz w:val="28"/>
                  <w:szCs w:val="28"/>
                  <w:lang w:val="en-IE"/>
                </w:rPr>
                <w:t>requirements</w:t>
              </w:r>
              <w:r w:rsidR="00F64BE8">
                <w:rPr>
                  <w:b/>
                  <w:bCs/>
                  <w:sz w:val="28"/>
                  <w:szCs w:val="28"/>
                  <w:lang w:val="en-IE"/>
                </w:rPr>
                <w:t xml:space="preserve"> response</w:t>
              </w:r>
              <w:r w:rsidRPr="00F64BE8">
                <w:rPr>
                  <w:b/>
                  <w:bCs/>
                  <w:sz w:val="28"/>
                  <w:szCs w:val="28"/>
                  <w:lang w:val="en-IE"/>
                </w:rPr>
                <w:t xml:space="preserve"> document to be completed</w:t>
              </w:r>
              <w:r w:rsidR="00F64BE8">
                <w:rPr>
                  <w:b/>
                  <w:bCs/>
                  <w:sz w:val="28"/>
                  <w:szCs w:val="28"/>
                  <w:lang w:val="en-IE"/>
                </w:rPr>
                <w:t>:</w:t>
              </w:r>
            </w:p>
            <w:p w14:paraId="4A1DAC47" w14:textId="4C38A000" w:rsidR="00040635" w:rsidRPr="009B5C01" w:rsidRDefault="00F64BE8" w:rsidP="00611982">
              <w:pPr>
                <w:rPr>
                  <w:b/>
                  <w:bCs/>
                  <w:lang w:val="en-IE"/>
                </w:rPr>
              </w:pPr>
              <w:r>
                <w:rPr>
                  <w:b/>
                  <w:bCs/>
                  <w:lang w:val="en-IE"/>
                </w:rPr>
                <w:object w:dxaOrig="1508" w:dyaOrig="984" w14:anchorId="335F0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75pt;height:49.5pt" o:ole="">
                    <v:imagedata r:id="rId22" o:title=""/>
                  </v:shape>
                  <o:OLEObject Type="Embed" ProgID="Excel.Sheet.12" ShapeID="_x0000_i1029" DrawAspect="Icon" ObjectID="_1842007629" r:id="rId23"/>
                </w:object>
              </w:r>
            </w:p>
            <w:p w14:paraId="18B9C077" w14:textId="0FE6A963" w:rsidR="00B1490E" w:rsidRPr="00310EDC" w:rsidRDefault="006D3140" w:rsidP="00CC7906">
              <w:pPr>
                <w:rPr>
                  <w:highlight w:val="lightGray"/>
                </w:rPr>
              </w:pPr>
            </w:p>
          </w:sdtContent>
        </w:sdt>
      </w:sdtContent>
    </w:sdt>
    <w:p w14:paraId="291956DF"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p w14:paraId="3CFF4575" w14:textId="77777777" w:rsidR="003C0FB1" w:rsidRPr="00310EDC" w:rsidRDefault="006D3140" w:rsidP="00CC7906">
          <w:sdt>
            <w:sdtPr>
              <w:id w:val="1406293"/>
              <w:placeholder>
                <w:docPart w:val="2242A3F4E0F24EC1AA874628DB11E43F"/>
              </w:placeholder>
            </w:sdtPr>
            <w:sdtEndPr/>
            <w:sdtContent>
              <w:r w:rsidR="003C0FB1" w:rsidRPr="00310EDC">
                <w:t xml:space="preserve">[FREE TEXT AREA.  Insert here full details of the pricing required for the Services specified. Alternatively attach separate documents (spreadsheets, etc.) when issuing the RFT. When finished, delete these instructions and click in Appendix 3 to continue.]    </w:t>
              </w:r>
            </w:sdtContent>
          </w:sdt>
        </w:p>
      </w:sdtContent>
    </w:sdt>
    <w:p w14:paraId="28187E49" w14:textId="77777777" w:rsidR="003C0FB1" w:rsidRDefault="003C0FB1" w:rsidP="00CC7906"/>
    <w:p w14:paraId="4EB175C2" w14:textId="77777777" w:rsidR="003C0FB1" w:rsidRDefault="003C0FB1" w:rsidP="00CC7906"/>
    <w:p w14:paraId="74AB0AEF" w14:textId="77777777" w:rsidR="003C0FB1" w:rsidRDefault="00F64BE8" w:rsidP="00CC7906">
      <w:pPr>
        <w:rPr>
          <w:b/>
          <w:bCs/>
          <w:sz w:val="28"/>
          <w:szCs w:val="28"/>
        </w:rPr>
      </w:pPr>
      <w:r w:rsidRPr="00F64BE8">
        <w:rPr>
          <w:b/>
          <w:bCs/>
          <w:sz w:val="28"/>
          <w:szCs w:val="28"/>
        </w:rPr>
        <w:t>See attached pricing schedule document to be completed</w:t>
      </w:r>
      <w:r>
        <w:rPr>
          <w:b/>
          <w:bCs/>
          <w:sz w:val="28"/>
          <w:szCs w:val="28"/>
        </w:rPr>
        <w:t>:</w:t>
      </w:r>
    </w:p>
    <w:p w14:paraId="08FF7902" w14:textId="54D3157B" w:rsidR="00F64BE8" w:rsidRPr="00F64BE8" w:rsidRDefault="00F64BE8" w:rsidP="00CC7906">
      <w:pPr>
        <w:rPr>
          <w:b/>
          <w:bCs/>
          <w:sz w:val="28"/>
          <w:szCs w:val="28"/>
        </w:rPr>
        <w:sectPr w:rsidR="00F64BE8" w:rsidRPr="00F64BE8" w:rsidSect="00926F67">
          <w:type w:val="continuous"/>
          <w:pgSz w:w="11907" w:h="16840" w:code="9"/>
          <w:pgMar w:top="1134" w:right="1418" w:bottom="851" w:left="1418" w:header="709" w:footer="709" w:gutter="0"/>
          <w:cols w:space="708"/>
          <w:formProt w:val="0"/>
          <w:docGrid w:linePitch="360"/>
        </w:sectPr>
      </w:pPr>
      <w:r>
        <w:rPr>
          <w:b/>
          <w:bCs/>
          <w:sz w:val="28"/>
          <w:szCs w:val="28"/>
        </w:rPr>
        <w:t xml:space="preserve"> </w:t>
      </w:r>
      <w:r>
        <w:rPr>
          <w:b/>
          <w:bCs/>
          <w:sz w:val="28"/>
          <w:szCs w:val="28"/>
        </w:rPr>
        <w:object w:dxaOrig="1508" w:dyaOrig="984" w14:anchorId="40EBFD87">
          <v:shape id="_x0000_i1030" type="#_x0000_t75" style="width:75.75pt;height:49.5pt" o:ole="">
            <v:imagedata r:id="rId24" o:title=""/>
          </v:shape>
          <o:OLEObject Type="Embed" ProgID="Excel.Sheet.12" ShapeID="_x0000_i1030" DrawAspect="Icon" ObjectID="_1842007630" r:id="rId25"/>
        </w:object>
      </w: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102F344B"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F64BE8">
            <w:rPr>
              <w:highlight w:val="lightGray"/>
            </w:rPr>
            <w:t xml:space="preserve"> </w:t>
          </w:r>
        </w:sdtContent>
      </w:sdt>
      <w:r w:rsidR="003F3EE7">
        <w:t xml:space="preserve"> </w:t>
      </w:r>
      <w:r w:rsidR="003F3EE7" w:rsidRPr="00CC568F">
        <w:t>(the “Contracting Authority”)</w:t>
      </w:r>
    </w:p>
    <w:p w14:paraId="46FC351B" w14:textId="1F133088"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877812">
            <w:rPr>
              <w:szCs w:val="22"/>
              <w:highlight w:val="lightGray"/>
            </w:rPr>
            <w:t>ICT Network &amp; Wireless Infrastructure Equipment, Licences, and associated support Services.</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191F1412"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F64BE8">
            <w:rPr>
              <w:highlight w:val="lightGray"/>
            </w:rPr>
            <w:t xml:space="preserve"> </w:t>
          </w:r>
        </w:sdtContent>
      </w:sdt>
      <w:r>
        <w:t xml:space="preserve"> </w:t>
      </w:r>
      <w:r w:rsidRPr="00CC568F">
        <w:t>(the “Contracting Authority”)</w:t>
      </w:r>
    </w:p>
    <w:p w14:paraId="1D1A8B25" w14:textId="7F9FF736"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877812">
            <w:rPr>
              <w:szCs w:val="22"/>
              <w:highlight w:val="lightGray"/>
            </w:rPr>
            <w:t>ICT Network &amp; Wireless Infrastructure Equipment, Licences, and associated support Services.</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018A0098"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877812">
            <w:rPr>
              <w:szCs w:val="22"/>
              <w:highlight w:val="lightGray"/>
            </w:rPr>
            <w:t>ICT Network &amp; Wireless Infrastructure Equipment, Licences, and associated support Services.</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1E469BED" w:rsidR="003C0FB1" w:rsidRPr="00CB5B77" w:rsidRDefault="006D314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F64BE8">
            <w:rPr>
              <w:highlight w:val="lightGray"/>
            </w:rPr>
            <w:t xml:space="preserve"> </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1515D9AB"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877812">
            <w:rPr>
              <w:szCs w:val="22"/>
              <w:highlight w:val="lightGray"/>
            </w:rPr>
            <w:t>ICT Network &amp; Wireless Infrastructure Equipment, Licences, and associated support Services.</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5E8F051B" w:rsidR="003C0FB1" w:rsidRDefault="006D314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F64BE8">
            <w:rPr>
              <w:highlight w:val="lightGray"/>
            </w:rPr>
            <w:t xml:space="preserve"> </w:t>
          </w:r>
        </w:sdtContent>
      </w:sdt>
      <w:r w:rsidR="003C0FB1" w:rsidRPr="000E5DB7">
        <w:t xml:space="preserve">, of </w:t>
      </w:r>
      <w:bookmarkStart w:id="25"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5"/>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6D3140"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6"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6" w:name="Text39"/>
            <w:r w:rsidR="00C93669">
              <w:instrText xml:space="preserve"> FORMTEXT </w:instrText>
            </w:r>
            <w:r w:rsidR="00C93669">
              <w:fldChar w:fldCharType="separate"/>
            </w:r>
            <w:r w:rsidR="00C93669">
              <w:rPr>
                <w:noProof/>
              </w:rPr>
              <w:t>[address of contact person]</w:t>
            </w:r>
            <w:r w:rsidR="00C93669">
              <w:fldChar w:fldCharType="end"/>
            </w:r>
            <w:bookmarkEnd w:id="26"/>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7"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7"/>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8"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8"/>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9"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9"/>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6D3140"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30"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30"/>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31" w:name="Text145"/>
            <w:r>
              <w:instrText xml:space="preserve"> FORMTEXT </w:instrText>
            </w:r>
            <w:r>
              <w:fldChar w:fldCharType="separate"/>
            </w:r>
            <w:r>
              <w:rPr>
                <w:noProof/>
              </w:rPr>
              <w:t>[number]</w:t>
            </w:r>
            <w:r>
              <w:fldChar w:fldCharType="end"/>
            </w:r>
            <w:bookmarkEnd w:id="31"/>
            <w:r w:rsidR="00394603" w:rsidRPr="000E5DB7">
              <w:t xml:space="preserve"> per cent of the Charges. In such event the Client shall identify the </w:t>
            </w:r>
            <w:r w:rsidR="00394603"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32" w:name="Text43"/>
            <w:r w:rsidR="001F7FC2">
              <w:instrText xml:space="preserve">FORMTEXT </w:instrText>
            </w:r>
            <w:r w:rsidR="001F7FC2">
              <w:fldChar w:fldCharType="separate"/>
            </w:r>
            <w:r w:rsidR="001F7FC2">
              <w:rPr>
                <w:noProof/>
              </w:rPr>
              <w:t>[insert amount]</w:t>
            </w:r>
            <w:r w:rsidR="001F7FC2">
              <w:fldChar w:fldCharType="end"/>
            </w:r>
            <w:bookmarkEnd w:id="32"/>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lastRenderedPageBreak/>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3" w:name="Text146"/>
            <w:r w:rsidR="00B625AA">
              <w:instrText xml:space="preserve"> FORMTEXT </w:instrText>
            </w:r>
            <w:r w:rsidR="00B625AA">
              <w:fldChar w:fldCharType="separate"/>
            </w:r>
            <w:r w:rsidR="00B625AA">
              <w:rPr>
                <w:noProof/>
              </w:rPr>
              <w:t>[insert number]</w:t>
            </w:r>
            <w:r w:rsidR="00B625AA">
              <w:fldChar w:fldCharType="end"/>
            </w:r>
            <w:bookmarkEnd w:id="33"/>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4" w:name="Text147"/>
            <w:r w:rsidR="00B625AA">
              <w:instrText xml:space="preserve"> FORMTEXT </w:instrText>
            </w:r>
            <w:r w:rsidR="00B625AA">
              <w:fldChar w:fldCharType="separate"/>
            </w:r>
            <w:r w:rsidR="00B625AA">
              <w:rPr>
                <w:noProof/>
              </w:rPr>
              <w:t>[insert period of time months]</w:t>
            </w:r>
            <w:r w:rsidR="00B625AA">
              <w:fldChar w:fldCharType="end"/>
            </w:r>
            <w:bookmarkEnd w:id="34"/>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(OR IF USING A THIRD PARTY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6D314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6D314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5"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5"/>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6"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6"/>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7"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7"/>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8"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8"/>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9"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9"/>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proofErr w:type="spellStart"/>
                    <w:r w:rsidRPr="00BE4EBF">
                      <w:rPr>
                        <w:szCs w:val="22"/>
                      </w:rPr>
                      <w:t>i</w:t>
                    </w:r>
                    <w:proofErr w:type="spellEnd"/>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6D314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6D314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6D3140"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ADDD" w14:textId="77777777" w:rsidR="006D3140" w:rsidRDefault="006D3140" w:rsidP="003C0FB1">
      <w:r>
        <w:separator/>
      </w:r>
    </w:p>
  </w:endnote>
  <w:endnote w:type="continuationSeparator" w:id="0">
    <w:p w14:paraId="621FE276" w14:textId="77777777" w:rsidR="006D3140" w:rsidRDefault="006D3140" w:rsidP="003C0FB1">
      <w:r>
        <w:continuationSeparator/>
      </w:r>
    </w:p>
  </w:endnote>
  <w:endnote w:type="continuationNotice" w:id="1">
    <w:p w14:paraId="3581E6AE" w14:textId="77777777" w:rsidR="006D3140" w:rsidRDefault="006D31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BDC0F" w14:textId="77777777" w:rsidR="006D3140" w:rsidRDefault="006D3140" w:rsidP="003C0FB1">
      <w:r>
        <w:separator/>
      </w:r>
    </w:p>
  </w:footnote>
  <w:footnote w:type="continuationSeparator" w:id="0">
    <w:p w14:paraId="382F32B8" w14:textId="77777777" w:rsidR="006D3140" w:rsidRDefault="006D3140" w:rsidP="003C0FB1">
      <w:r>
        <w:continuationSeparator/>
      </w:r>
    </w:p>
  </w:footnote>
  <w:footnote w:type="continuationNotice" w:id="1">
    <w:p w14:paraId="38C8AC6C" w14:textId="77777777" w:rsidR="006D3140" w:rsidRDefault="006D31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4F57E6"/>
    <w:multiLevelType w:val="multilevel"/>
    <w:tmpl w:val="CA9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74DB6"/>
    <w:multiLevelType w:val="multilevel"/>
    <w:tmpl w:val="F37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69D28FD"/>
    <w:multiLevelType w:val="multilevel"/>
    <w:tmpl w:val="648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3A4B27"/>
    <w:multiLevelType w:val="multilevel"/>
    <w:tmpl w:val="DBB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E77EF"/>
    <w:multiLevelType w:val="multilevel"/>
    <w:tmpl w:val="CC06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D63405"/>
    <w:multiLevelType w:val="multilevel"/>
    <w:tmpl w:val="A6AE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F627EBF"/>
    <w:multiLevelType w:val="multilevel"/>
    <w:tmpl w:val="5136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98A12CB"/>
    <w:multiLevelType w:val="multilevel"/>
    <w:tmpl w:val="4F3A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73DB0"/>
    <w:multiLevelType w:val="multilevel"/>
    <w:tmpl w:val="8322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3574D1"/>
    <w:multiLevelType w:val="multilevel"/>
    <w:tmpl w:val="816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D2B1E"/>
    <w:multiLevelType w:val="multilevel"/>
    <w:tmpl w:val="BC0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560AF5"/>
    <w:multiLevelType w:val="multilevel"/>
    <w:tmpl w:val="21D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514CD"/>
    <w:multiLevelType w:val="multilevel"/>
    <w:tmpl w:val="4072E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C73D42"/>
    <w:multiLevelType w:val="multilevel"/>
    <w:tmpl w:val="9BF0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AF1A6A"/>
    <w:multiLevelType w:val="multilevel"/>
    <w:tmpl w:val="3B2C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CF12D3"/>
    <w:multiLevelType w:val="multilevel"/>
    <w:tmpl w:val="B75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72C03"/>
    <w:multiLevelType w:val="multilevel"/>
    <w:tmpl w:val="5B3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757E3D"/>
    <w:multiLevelType w:val="multilevel"/>
    <w:tmpl w:val="8A9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BB17809"/>
    <w:multiLevelType w:val="multilevel"/>
    <w:tmpl w:val="AA2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4" w15:restartNumberingAfterBreak="0">
    <w:nsid w:val="7E7E0E7B"/>
    <w:multiLevelType w:val="multilevel"/>
    <w:tmpl w:val="6B8C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819974">
    <w:abstractNumId w:val="29"/>
  </w:num>
  <w:num w:numId="2" w16cid:durableId="1933855330">
    <w:abstractNumId w:val="43"/>
  </w:num>
  <w:num w:numId="3" w16cid:durableId="2005281143">
    <w:abstractNumId w:val="30"/>
  </w:num>
  <w:num w:numId="4" w16cid:durableId="1385056272">
    <w:abstractNumId w:val="6"/>
  </w:num>
  <w:num w:numId="5" w16cid:durableId="1842616959">
    <w:abstractNumId w:val="42"/>
  </w:num>
  <w:num w:numId="6" w16cid:durableId="1426071885">
    <w:abstractNumId w:val="13"/>
  </w:num>
  <w:num w:numId="7" w16cid:durableId="1390493117">
    <w:abstractNumId w:val="2"/>
  </w:num>
  <w:num w:numId="8" w16cid:durableId="1349523178">
    <w:abstractNumId w:val="3"/>
  </w:num>
  <w:num w:numId="9" w16cid:durableId="871767712">
    <w:abstractNumId w:val="9"/>
  </w:num>
  <w:num w:numId="10" w16cid:durableId="1500972234">
    <w:abstractNumId w:val="40"/>
  </w:num>
  <w:num w:numId="11" w16cid:durableId="1699549443">
    <w:abstractNumId w:val="14"/>
  </w:num>
  <w:num w:numId="12" w16cid:durableId="1483502708">
    <w:abstractNumId w:val="26"/>
  </w:num>
  <w:num w:numId="13" w16cid:durableId="1162355748">
    <w:abstractNumId w:val="28"/>
  </w:num>
  <w:num w:numId="14" w16cid:durableId="667370201">
    <w:abstractNumId w:val="22"/>
  </w:num>
  <w:num w:numId="15" w16cid:durableId="1195269823">
    <w:abstractNumId w:val="36"/>
  </w:num>
  <w:num w:numId="16" w16cid:durableId="2042123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9440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62277">
    <w:abstractNumId w:val="10"/>
  </w:num>
  <w:num w:numId="19" w16cid:durableId="1099253642">
    <w:abstractNumId w:val="32"/>
  </w:num>
  <w:num w:numId="20" w16cid:durableId="642470803">
    <w:abstractNumId w:val="25"/>
  </w:num>
  <w:num w:numId="21" w16cid:durableId="119539791">
    <w:abstractNumId w:val="19"/>
  </w:num>
  <w:num w:numId="22" w16cid:durableId="157768516">
    <w:abstractNumId w:val="35"/>
  </w:num>
  <w:num w:numId="23" w16cid:durableId="2034112315">
    <w:abstractNumId w:val="1"/>
  </w:num>
  <w:num w:numId="24" w16cid:durableId="1486972805">
    <w:abstractNumId w:val="41"/>
  </w:num>
  <w:num w:numId="25" w16cid:durableId="513615067">
    <w:abstractNumId w:val="11"/>
  </w:num>
  <w:num w:numId="26" w16cid:durableId="2001687685">
    <w:abstractNumId w:val="12"/>
  </w:num>
  <w:num w:numId="27" w16cid:durableId="593132904">
    <w:abstractNumId w:val="21"/>
  </w:num>
  <w:num w:numId="28" w16cid:durableId="1823736051">
    <w:abstractNumId w:val="24"/>
  </w:num>
  <w:num w:numId="29" w16cid:durableId="1248464487">
    <w:abstractNumId w:val="5"/>
  </w:num>
  <w:num w:numId="30" w16cid:durableId="1701323923">
    <w:abstractNumId w:val="23"/>
  </w:num>
  <w:num w:numId="31" w16cid:durableId="1393852130">
    <w:abstractNumId w:val="27"/>
  </w:num>
  <w:num w:numId="32" w16cid:durableId="1876115499">
    <w:abstractNumId w:val="4"/>
  </w:num>
  <w:num w:numId="33" w16cid:durableId="999040725">
    <w:abstractNumId w:val="34"/>
  </w:num>
  <w:num w:numId="34" w16cid:durableId="793598070">
    <w:abstractNumId w:val="38"/>
  </w:num>
  <w:num w:numId="35" w16cid:durableId="15159251">
    <w:abstractNumId w:val="44"/>
  </w:num>
  <w:num w:numId="36" w16cid:durableId="1166242105">
    <w:abstractNumId w:val="33"/>
  </w:num>
  <w:num w:numId="37" w16cid:durableId="1930232940">
    <w:abstractNumId w:val="15"/>
  </w:num>
  <w:num w:numId="38" w16cid:durableId="404307283">
    <w:abstractNumId w:val="20"/>
  </w:num>
  <w:num w:numId="39" w16cid:durableId="464395552">
    <w:abstractNumId w:val="37"/>
  </w:num>
  <w:num w:numId="40" w16cid:durableId="509177009">
    <w:abstractNumId w:val="39"/>
  </w:num>
  <w:num w:numId="41" w16cid:durableId="760377113">
    <w:abstractNumId w:val="7"/>
  </w:num>
  <w:num w:numId="42" w16cid:durableId="1045326552">
    <w:abstractNumId w:val="31"/>
  </w:num>
  <w:num w:numId="43" w16cid:durableId="139631620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2AAC"/>
    <w:rsid w:val="000038AA"/>
    <w:rsid w:val="0000669B"/>
    <w:rsid w:val="00007EF6"/>
    <w:rsid w:val="00010494"/>
    <w:rsid w:val="00010A6C"/>
    <w:rsid w:val="0001388F"/>
    <w:rsid w:val="00015084"/>
    <w:rsid w:val="000225C5"/>
    <w:rsid w:val="00024812"/>
    <w:rsid w:val="00026055"/>
    <w:rsid w:val="00026085"/>
    <w:rsid w:val="0003041E"/>
    <w:rsid w:val="00040635"/>
    <w:rsid w:val="00040A5C"/>
    <w:rsid w:val="0004651B"/>
    <w:rsid w:val="00056B48"/>
    <w:rsid w:val="00061527"/>
    <w:rsid w:val="0006379F"/>
    <w:rsid w:val="00065AEE"/>
    <w:rsid w:val="000722CA"/>
    <w:rsid w:val="000723C1"/>
    <w:rsid w:val="00073468"/>
    <w:rsid w:val="00074610"/>
    <w:rsid w:val="00077C1B"/>
    <w:rsid w:val="00083383"/>
    <w:rsid w:val="00094513"/>
    <w:rsid w:val="000A3A63"/>
    <w:rsid w:val="000A4621"/>
    <w:rsid w:val="000A7375"/>
    <w:rsid w:val="000A7F79"/>
    <w:rsid w:val="000C0E06"/>
    <w:rsid w:val="000C0E11"/>
    <w:rsid w:val="000C65B7"/>
    <w:rsid w:val="000D10E2"/>
    <w:rsid w:val="000E269E"/>
    <w:rsid w:val="000E283A"/>
    <w:rsid w:val="000E2CF8"/>
    <w:rsid w:val="000E4872"/>
    <w:rsid w:val="000E66C8"/>
    <w:rsid w:val="000F0378"/>
    <w:rsid w:val="000F4D74"/>
    <w:rsid w:val="000F4FE9"/>
    <w:rsid w:val="000F568E"/>
    <w:rsid w:val="000F751F"/>
    <w:rsid w:val="00101A30"/>
    <w:rsid w:val="00101AC8"/>
    <w:rsid w:val="00102515"/>
    <w:rsid w:val="00114317"/>
    <w:rsid w:val="00117F8E"/>
    <w:rsid w:val="001221FC"/>
    <w:rsid w:val="0012568B"/>
    <w:rsid w:val="00130442"/>
    <w:rsid w:val="0013106C"/>
    <w:rsid w:val="001340DF"/>
    <w:rsid w:val="001424C2"/>
    <w:rsid w:val="001473BE"/>
    <w:rsid w:val="00147DAB"/>
    <w:rsid w:val="001524AB"/>
    <w:rsid w:val="00153075"/>
    <w:rsid w:val="00154B48"/>
    <w:rsid w:val="00162F1A"/>
    <w:rsid w:val="00164B9E"/>
    <w:rsid w:val="00164CF1"/>
    <w:rsid w:val="001651D7"/>
    <w:rsid w:val="00165225"/>
    <w:rsid w:val="00173329"/>
    <w:rsid w:val="001750A8"/>
    <w:rsid w:val="00175C84"/>
    <w:rsid w:val="0017796A"/>
    <w:rsid w:val="00183175"/>
    <w:rsid w:val="0018606D"/>
    <w:rsid w:val="00187505"/>
    <w:rsid w:val="00192D79"/>
    <w:rsid w:val="001A020C"/>
    <w:rsid w:val="001A277B"/>
    <w:rsid w:val="001B5C7C"/>
    <w:rsid w:val="001B602E"/>
    <w:rsid w:val="001C3A95"/>
    <w:rsid w:val="001C3D44"/>
    <w:rsid w:val="001D042D"/>
    <w:rsid w:val="001D1C4C"/>
    <w:rsid w:val="001D6C9C"/>
    <w:rsid w:val="001E48F9"/>
    <w:rsid w:val="001E59E6"/>
    <w:rsid w:val="001E5AA5"/>
    <w:rsid w:val="001F43E8"/>
    <w:rsid w:val="001F6360"/>
    <w:rsid w:val="001F68D2"/>
    <w:rsid w:val="001F7FC2"/>
    <w:rsid w:val="002026FD"/>
    <w:rsid w:val="00203A7C"/>
    <w:rsid w:val="002048AD"/>
    <w:rsid w:val="0020534D"/>
    <w:rsid w:val="00206CC8"/>
    <w:rsid w:val="002116B7"/>
    <w:rsid w:val="00222CB6"/>
    <w:rsid w:val="00224E17"/>
    <w:rsid w:val="00234C8E"/>
    <w:rsid w:val="0023618E"/>
    <w:rsid w:val="00236966"/>
    <w:rsid w:val="002375D9"/>
    <w:rsid w:val="002418DA"/>
    <w:rsid w:val="00241925"/>
    <w:rsid w:val="00245008"/>
    <w:rsid w:val="00245488"/>
    <w:rsid w:val="00246362"/>
    <w:rsid w:val="0025093E"/>
    <w:rsid w:val="00253A82"/>
    <w:rsid w:val="002628DF"/>
    <w:rsid w:val="00262C0F"/>
    <w:rsid w:val="00272107"/>
    <w:rsid w:val="00273484"/>
    <w:rsid w:val="002734EC"/>
    <w:rsid w:val="0028250A"/>
    <w:rsid w:val="002832AF"/>
    <w:rsid w:val="00286EB8"/>
    <w:rsid w:val="002900E1"/>
    <w:rsid w:val="00292437"/>
    <w:rsid w:val="00296C52"/>
    <w:rsid w:val="002A11F9"/>
    <w:rsid w:val="002A1879"/>
    <w:rsid w:val="002B0E22"/>
    <w:rsid w:val="002B2535"/>
    <w:rsid w:val="002B2830"/>
    <w:rsid w:val="002B43D2"/>
    <w:rsid w:val="002B60D2"/>
    <w:rsid w:val="002C08E8"/>
    <w:rsid w:val="002C70EC"/>
    <w:rsid w:val="002C7140"/>
    <w:rsid w:val="002C72C0"/>
    <w:rsid w:val="002D062E"/>
    <w:rsid w:val="002D52C0"/>
    <w:rsid w:val="002E273D"/>
    <w:rsid w:val="002E2918"/>
    <w:rsid w:val="002F0288"/>
    <w:rsid w:val="002F476F"/>
    <w:rsid w:val="002F5529"/>
    <w:rsid w:val="002F5A99"/>
    <w:rsid w:val="0030399F"/>
    <w:rsid w:val="00306B84"/>
    <w:rsid w:val="003073E6"/>
    <w:rsid w:val="0031024C"/>
    <w:rsid w:val="00310EDC"/>
    <w:rsid w:val="003119BB"/>
    <w:rsid w:val="00311BCB"/>
    <w:rsid w:val="00311EC3"/>
    <w:rsid w:val="00315498"/>
    <w:rsid w:val="00321AC6"/>
    <w:rsid w:val="00325955"/>
    <w:rsid w:val="00325B4F"/>
    <w:rsid w:val="003270FE"/>
    <w:rsid w:val="00337921"/>
    <w:rsid w:val="0034204D"/>
    <w:rsid w:val="00342131"/>
    <w:rsid w:val="00347E6B"/>
    <w:rsid w:val="00350DBC"/>
    <w:rsid w:val="0035337C"/>
    <w:rsid w:val="003670C3"/>
    <w:rsid w:val="003700B0"/>
    <w:rsid w:val="0037365C"/>
    <w:rsid w:val="00377945"/>
    <w:rsid w:val="00383C79"/>
    <w:rsid w:val="0038503C"/>
    <w:rsid w:val="00385B6E"/>
    <w:rsid w:val="0038799C"/>
    <w:rsid w:val="0039088B"/>
    <w:rsid w:val="00394603"/>
    <w:rsid w:val="003C0FB1"/>
    <w:rsid w:val="003C19E4"/>
    <w:rsid w:val="003C2DA6"/>
    <w:rsid w:val="003C3203"/>
    <w:rsid w:val="003D1ED4"/>
    <w:rsid w:val="003D35B0"/>
    <w:rsid w:val="003D46FB"/>
    <w:rsid w:val="003E08C5"/>
    <w:rsid w:val="003E5D39"/>
    <w:rsid w:val="003E7CC4"/>
    <w:rsid w:val="003F3CA9"/>
    <w:rsid w:val="003F3EE7"/>
    <w:rsid w:val="0040402B"/>
    <w:rsid w:val="0040447C"/>
    <w:rsid w:val="004101AD"/>
    <w:rsid w:val="0041178E"/>
    <w:rsid w:val="004142A3"/>
    <w:rsid w:val="00422C77"/>
    <w:rsid w:val="00424DCC"/>
    <w:rsid w:val="00430D5D"/>
    <w:rsid w:val="00430EA8"/>
    <w:rsid w:val="0043729C"/>
    <w:rsid w:val="00443976"/>
    <w:rsid w:val="00444730"/>
    <w:rsid w:val="0046000A"/>
    <w:rsid w:val="0047190E"/>
    <w:rsid w:val="00474043"/>
    <w:rsid w:val="00476F6D"/>
    <w:rsid w:val="00483B81"/>
    <w:rsid w:val="0048533D"/>
    <w:rsid w:val="004871F9"/>
    <w:rsid w:val="00492FA6"/>
    <w:rsid w:val="004939B5"/>
    <w:rsid w:val="00496C17"/>
    <w:rsid w:val="004A0961"/>
    <w:rsid w:val="004A15F8"/>
    <w:rsid w:val="004A7D33"/>
    <w:rsid w:val="004B2AF8"/>
    <w:rsid w:val="004B3ABB"/>
    <w:rsid w:val="004B4771"/>
    <w:rsid w:val="004B576C"/>
    <w:rsid w:val="004B65A0"/>
    <w:rsid w:val="004C7F6E"/>
    <w:rsid w:val="004D3248"/>
    <w:rsid w:val="004E00BE"/>
    <w:rsid w:val="004E1CC3"/>
    <w:rsid w:val="004F3DDB"/>
    <w:rsid w:val="004F3EAD"/>
    <w:rsid w:val="004F5155"/>
    <w:rsid w:val="004F7F10"/>
    <w:rsid w:val="005004ED"/>
    <w:rsid w:val="00503F93"/>
    <w:rsid w:val="005076FB"/>
    <w:rsid w:val="00514DFD"/>
    <w:rsid w:val="0051673A"/>
    <w:rsid w:val="00522851"/>
    <w:rsid w:val="00522DF9"/>
    <w:rsid w:val="005239E4"/>
    <w:rsid w:val="00527241"/>
    <w:rsid w:val="00530FF5"/>
    <w:rsid w:val="005311A8"/>
    <w:rsid w:val="00532E79"/>
    <w:rsid w:val="00533484"/>
    <w:rsid w:val="00534A1C"/>
    <w:rsid w:val="00541969"/>
    <w:rsid w:val="00542982"/>
    <w:rsid w:val="00542A87"/>
    <w:rsid w:val="0054610F"/>
    <w:rsid w:val="00550821"/>
    <w:rsid w:val="00550B2B"/>
    <w:rsid w:val="005520E5"/>
    <w:rsid w:val="00552808"/>
    <w:rsid w:val="005554D3"/>
    <w:rsid w:val="005635BE"/>
    <w:rsid w:val="005637A5"/>
    <w:rsid w:val="0056395A"/>
    <w:rsid w:val="00564F8A"/>
    <w:rsid w:val="00572F15"/>
    <w:rsid w:val="00573AF8"/>
    <w:rsid w:val="00576945"/>
    <w:rsid w:val="0057774C"/>
    <w:rsid w:val="00580AF7"/>
    <w:rsid w:val="00582924"/>
    <w:rsid w:val="0058336E"/>
    <w:rsid w:val="005A41B0"/>
    <w:rsid w:val="005A564A"/>
    <w:rsid w:val="005A6A8D"/>
    <w:rsid w:val="005B0450"/>
    <w:rsid w:val="005B2A6D"/>
    <w:rsid w:val="005C1535"/>
    <w:rsid w:val="005C5508"/>
    <w:rsid w:val="005D60C5"/>
    <w:rsid w:val="005E3864"/>
    <w:rsid w:val="005F1FC6"/>
    <w:rsid w:val="005F2191"/>
    <w:rsid w:val="005F67F0"/>
    <w:rsid w:val="005F7E00"/>
    <w:rsid w:val="00601E78"/>
    <w:rsid w:val="006060CE"/>
    <w:rsid w:val="0061100A"/>
    <w:rsid w:val="00611982"/>
    <w:rsid w:val="006120F4"/>
    <w:rsid w:val="006404C2"/>
    <w:rsid w:val="006457EE"/>
    <w:rsid w:val="00646B48"/>
    <w:rsid w:val="00647D5A"/>
    <w:rsid w:val="006535A0"/>
    <w:rsid w:val="006565BD"/>
    <w:rsid w:val="006575DD"/>
    <w:rsid w:val="0066099B"/>
    <w:rsid w:val="00662F78"/>
    <w:rsid w:val="00663B2A"/>
    <w:rsid w:val="00671010"/>
    <w:rsid w:val="006761DC"/>
    <w:rsid w:val="00684357"/>
    <w:rsid w:val="00684764"/>
    <w:rsid w:val="006862EC"/>
    <w:rsid w:val="006928B9"/>
    <w:rsid w:val="006955D1"/>
    <w:rsid w:val="006A1D74"/>
    <w:rsid w:val="006A5E06"/>
    <w:rsid w:val="006A7016"/>
    <w:rsid w:val="006B2F64"/>
    <w:rsid w:val="006B47FC"/>
    <w:rsid w:val="006C6715"/>
    <w:rsid w:val="006C71B4"/>
    <w:rsid w:val="006D1065"/>
    <w:rsid w:val="006D3140"/>
    <w:rsid w:val="006D4370"/>
    <w:rsid w:val="0070219A"/>
    <w:rsid w:val="00702C39"/>
    <w:rsid w:val="00705D89"/>
    <w:rsid w:val="00711492"/>
    <w:rsid w:val="007247B5"/>
    <w:rsid w:val="00732B93"/>
    <w:rsid w:val="0073644F"/>
    <w:rsid w:val="007368CF"/>
    <w:rsid w:val="00744D40"/>
    <w:rsid w:val="00746EFF"/>
    <w:rsid w:val="00751DCE"/>
    <w:rsid w:val="00756CA9"/>
    <w:rsid w:val="00757561"/>
    <w:rsid w:val="0076097C"/>
    <w:rsid w:val="007704DA"/>
    <w:rsid w:val="007712DD"/>
    <w:rsid w:val="00773F8B"/>
    <w:rsid w:val="007746D2"/>
    <w:rsid w:val="00781E82"/>
    <w:rsid w:val="007831B0"/>
    <w:rsid w:val="00785B01"/>
    <w:rsid w:val="007879CD"/>
    <w:rsid w:val="007A3C19"/>
    <w:rsid w:val="007A49FA"/>
    <w:rsid w:val="007A68F4"/>
    <w:rsid w:val="007B120C"/>
    <w:rsid w:val="007B2C0C"/>
    <w:rsid w:val="007B7D0E"/>
    <w:rsid w:val="007C0B47"/>
    <w:rsid w:val="007C2144"/>
    <w:rsid w:val="007C5D7B"/>
    <w:rsid w:val="007C5E41"/>
    <w:rsid w:val="007C793D"/>
    <w:rsid w:val="007D0978"/>
    <w:rsid w:val="007D2102"/>
    <w:rsid w:val="007D4435"/>
    <w:rsid w:val="007E0535"/>
    <w:rsid w:val="007E093F"/>
    <w:rsid w:val="007E5B65"/>
    <w:rsid w:val="007E76FD"/>
    <w:rsid w:val="007E7F2F"/>
    <w:rsid w:val="007F13F0"/>
    <w:rsid w:val="007F3458"/>
    <w:rsid w:val="007F42AD"/>
    <w:rsid w:val="00803D16"/>
    <w:rsid w:val="0080469D"/>
    <w:rsid w:val="0080489A"/>
    <w:rsid w:val="00810459"/>
    <w:rsid w:val="00810B05"/>
    <w:rsid w:val="00813E1F"/>
    <w:rsid w:val="0081621E"/>
    <w:rsid w:val="0081730C"/>
    <w:rsid w:val="00817BAF"/>
    <w:rsid w:val="0082410E"/>
    <w:rsid w:val="0082552F"/>
    <w:rsid w:val="00827850"/>
    <w:rsid w:val="0083112F"/>
    <w:rsid w:val="008347C3"/>
    <w:rsid w:val="008365A3"/>
    <w:rsid w:val="00837A39"/>
    <w:rsid w:val="008401D0"/>
    <w:rsid w:val="00842BFC"/>
    <w:rsid w:val="00850C49"/>
    <w:rsid w:val="00853F47"/>
    <w:rsid w:val="00854392"/>
    <w:rsid w:val="00854C0D"/>
    <w:rsid w:val="00861561"/>
    <w:rsid w:val="00867807"/>
    <w:rsid w:val="00867EDE"/>
    <w:rsid w:val="008706FB"/>
    <w:rsid w:val="008754E6"/>
    <w:rsid w:val="00877812"/>
    <w:rsid w:val="0088507E"/>
    <w:rsid w:val="0088594E"/>
    <w:rsid w:val="008879AD"/>
    <w:rsid w:val="00891448"/>
    <w:rsid w:val="00891A74"/>
    <w:rsid w:val="00892C65"/>
    <w:rsid w:val="008954CD"/>
    <w:rsid w:val="008A0BB8"/>
    <w:rsid w:val="008A1C6D"/>
    <w:rsid w:val="008A36C2"/>
    <w:rsid w:val="008A73C2"/>
    <w:rsid w:val="008B1679"/>
    <w:rsid w:val="008C07AC"/>
    <w:rsid w:val="008C58A1"/>
    <w:rsid w:val="008C69A3"/>
    <w:rsid w:val="008D3B33"/>
    <w:rsid w:val="008E235A"/>
    <w:rsid w:val="008E4884"/>
    <w:rsid w:val="008F5874"/>
    <w:rsid w:val="008F637D"/>
    <w:rsid w:val="00900B52"/>
    <w:rsid w:val="00904FCA"/>
    <w:rsid w:val="00911093"/>
    <w:rsid w:val="0091272F"/>
    <w:rsid w:val="009147DA"/>
    <w:rsid w:val="00916113"/>
    <w:rsid w:val="00920A59"/>
    <w:rsid w:val="00921E8E"/>
    <w:rsid w:val="00926C9C"/>
    <w:rsid w:val="00926F67"/>
    <w:rsid w:val="00927A61"/>
    <w:rsid w:val="00931121"/>
    <w:rsid w:val="00934018"/>
    <w:rsid w:val="009340FB"/>
    <w:rsid w:val="00934BC4"/>
    <w:rsid w:val="00951854"/>
    <w:rsid w:val="009528C8"/>
    <w:rsid w:val="0095374A"/>
    <w:rsid w:val="00953F4C"/>
    <w:rsid w:val="009608C5"/>
    <w:rsid w:val="00962432"/>
    <w:rsid w:val="009708EF"/>
    <w:rsid w:val="00971155"/>
    <w:rsid w:val="009745F9"/>
    <w:rsid w:val="00977CC4"/>
    <w:rsid w:val="009825AB"/>
    <w:rsid w:val="009840F9"/>
    <w:rsid w:val="0098708A"/>
    <w:rsid w:val="0099533F"/>
    <w:rsid w:val="00997226"/>
    <w:rsid w:val="009A0BAB"/>
    <w:rsid w:val="009B0FE7"/>
    <w:rsid w:val="009B1FA7"/>
    <w:rsid w:val="009B5C01"/>
    <w:rsid w:val="009B600B"/>
    <w:rsid w:val="009B6F44"/>
    <w:rsid w:val="009C03EB"/>
    <w:rsid w:val="009C05E9"/>
    <w:rsid w:val="009C6248"/>
    <w:rsid w:val="009C6CBD"/>
    <w:rsid w:val="009D6264"/>
    <w:rsid w:val="009D6626"/>
    <w:rsid w:val="009E6B8D"/>
    <w:rsid w:val="009E7AB7"/>
    <w:rsid w:val="009F1736"/>
    <w:rsid w:val="00A034E8"/>
    <w:rsid w:val="00A0779A"/>
    <w:rsid w:val="00A0785B"/>
    <w:rsid w:val="00A1045A"/>
    <w:rsid w:val="00A25C3C"/>
    <w:rsid w:val="00A3063F"/>
    <w:rsid w:val="00A31012"/>
    <w:rsid w:val="00A50F5E"/>
    <w:rsid w:val="00A60A1D"/>
    <w:rsid w:val="00A6145C"/>
    <w:rsid w:val="00A614F4"/>
    <w:rsid w:val="00A6430B"/>
    <w:rsid w:val="00A70259"/>
    <w:rsid w:val="00A7281F"/>
    <w:rsid w:val="00A76E64"/>
    <w:rsid w:val="00A8258F"/>
    <w:rsid w:val="00A82605"/>
    <w:rsid w:val="00A84586"/>
    <w:rsid w:val="00A9155D"/>
    <w:rsid w:val="00A94316"/>
    <w:rsid w:val="00A94E8C"/>
    <w:rsid w:val="00AA4911"/>
    <w:rsid w:val="00AA57CE"/>
    <w:rsid w:val="00AA5D03"/>
    <w:rsid w:val="00AA6837"/>
    <w:rsid w:val="00AB3391"/>
    <w:rsid w:val="00AB363D"/>
    <w:rsid w:val="00AB5697"/>
    <w:rsid w:val="00AB5BAF"/>
    <w:rsid w:val="00AB6281"/>
    <w:rsid w:val="00AC44B0"/>
    <w:rsid w:val="00AC4D66"/>
    <w:rsid w:val="00AC51D7"/>
    <w:rsid w:val="00AD44D1"/>
    <w:rsid w:val="00AE7E8B"/>
    <w:rsid w:val="00AE7F1A"/>
    <w:rsid w:val="00AF7AE7"/>
    <w:rsid w:val="00B001E1"/>
    <w:rsid w:val="00B06A91"/>
    <w:rsid w:val="00B12CE7"/>
    <w:rsid w:val="00B1490E"/>
    <w:rsid w:val="00B166CF"/>
    <w:rsid w:val="00B26BD7"/>
    <w:rsid w:val="00B27596"/>
    <w:rsid w:val="00B35085"/>
    <w:rsid w:val="00B402FB"/>
    <w:rsid w:val="00B40EA2"/>
    <w:rsid w:val="00B421F3"/>
    <w:rsid w:val="00B4274B"/>
    <w:rsid w:val="00B45295"/>
    <w:rsid w:val="00B55209"/>
    <w:rsid w:val="00B6057A"/>
    <w:rsid w:val="00B61934"/>
    <w:rsid w:val="00B61AEE"/>
    <w:rsid w:val="00B61D4A"/>
    <w:rsid w:val="00B61DAD"/>
    <w:rsid w:val="00B625AA"/>
    <w:rsid w:val="00B66734"/>
    <w:rsid w:val="00B66FE4"/>
    <w:rsid w:val="00B70D05"/>
    <w:rsid w:val="00B809C4"/>
    <w:rsid w:val="00B82AE7"/>
    <w:rsid w:val="00B852A8"/>
    <w:rsid w:val="00B9639C"/>
    <w:rsid w:val="00BA3A5E"/>
    <w:rsid w:val="00BA3C02"/>
    <w:rsid w:val="00BA7046"/>
    <w:rsid w:val="00BB06D8"/>
    <w:rsid w:val="00BB2477"/>
    <w:rsid w:val="00BB24E7"/>
    <w:rsid w:val="00BB5E9D"/>
    <w:rsid w:val="00BC4768"/>
    <w:rsid w:val="00BD2643"/>
    <w:rsid w:val="00BD2B8D"/>
    <w:rsid w:val="00BD4551"/>
    <w:rsid w:val="00BD508C"/>
    <w:rsid w:val="00BE0C6B"/>
    <w:rsid w:val="00BE1B4F"/>
    <w:rsid w:val="00BE4EBF"/>
    <w:rsid w:val="00BE69B1"/>
    <w:rsid w:val="00BE71BB"/>
    <w:rsid w:val="00BF4019"/>
    <w:rsid w:val="00C11244"/>
    <w:rsid w:val="00C22B2F"/>
    <w:rsid w:val="00C244C1"/>
    <w:rsid w:val="00C25940"/>
    <w:rsid w:val="00C3103B"/>
    <w:rsid w:val="00C32309"/>
    <w:rsid w:val="00C42E06"/>
    <w:rsid w:val="00C43DF2"/>
    <w:rsid w:val="00C4598F"/>
    <w:rsid w:val="00C56BE2"/>
    <w:rsid w:val="00C57446"/>
    <w:rsid w:val="00C63394"/>
    <w:rsid w:val="00C652FF"/>
    <w:rsid w:val="00C7189F"/>
    <w:rsid w:val="00C82CC0"/>
    <w:rsid w:val="00C87AD0"/>
    <w:rsid w:val="00C90C2A"/>
    <w:rsid w:val="00C91457"/>
    <w:rsid w:val="00C93669"/>
    <w:rsid w:val="00C97037"/>
    <w:rsid w:val="00CA24A1"/>
    <w:rsid w:val="00CA3AF8"/>
    <w:rsid w:val="00CC28D7"/>
    <w:rsid w:val="00CC568F"/>
    <w:rsid w:val="00CC7906"/>
    <w:rsid w:val="00CE52AE"/>
    <w:rsid w:val="00CE7B2A"/>
    <w:rsid w:val="00CE7EE0"/>
    <w:rsid w:val="00CF2172"/>
    <w:rsid w:val="00D103CA"/>
    <w:rsid w:val="00D116BB"/>
    <w:rsid w:val="00D15811"/>
    <w:rsid w:val="00D17C44"/>
    <w:rsid w:val="00D244FD"/>
    <w:rsid w:val="00D27C20"/>
    <w:rsid w:val="00D3191E"/>
    <w:rsid w:val="00D3359A"/>
    <w:rsid w:val="00D3541F"/>
    <w:rsid w:val="00D35AA7"/>
    <w:rsid w:val="00D41C4B"/>
    <w:rsid w:val="00D42F7C"/>
    <w:rsid w:val="00D43858"/>
    <w:rsid w:val="00D459B4"/>
    <w:rsid w:val="00D46C12"/>
    <w:rsid w:val="00D51611"/>
    <w:rsid w:val="00D60054"/>
    <w:rsid w:val="00D61AC9"/>
    <w:rsid w:val="00D622B0"/>
    <w:rsid w:val="00D64590"/>
    <w:rsid w:val="00D74111"/>
    <w:rsid w:val="00D7420C"/>
    <w:rsid w:val="00D80B9F"/>
    <w:rsid w:val="00D820BD"/>
    <w:rsid w:val="00D90C4A"/>
    <w:rsid w:val="00D9639A"/>
    <w:rsid w:val="00D965B5"/>
    <w:rsid w:val="00D97FE5"/>
    <w:rsid w:val="00DA508A"/>
    <w:rsid w:val="00DA61B0"/>
    <w:rsid w:val="00DA6804"/>
    <w:rsid w:val="00DB1533"/>
    <w:rsid w:val="00DB3219"/>
    <w:rsid w:val="00DB5E7D"/>
    <w:rsid w:val="00DB6F9F"/>
    <w:rsid w:val="00DB76CB"/>
    <w:rsid w:val="00DC28E8"/>
    <w:rsid w:val="00DC4A2A"/>
    <w:rsid w:val="00DD2839"/>
    <w:rsid w:val="00DD59EC"/>
    <w:rsid w:val="00DD6E5D"/>
    <w:rsid w:val="00DD77DC"/>
    <w:rsid w:val="00DF1AB5"/>
    <w:rsid w:val="00DF26D3"/>
    <w:rsid w:val="00DF6604"/>
    <w:rsid w:val="00E03583"/>
    <w:rsid w:val="00E0378D"/>
    <w:rsid w:val="00E07B76"/>
    <w:rsid w:val="00E1649D"/>
    <w:rsid w:val="00E2701F"/>
    <w:rsid w:val="00E36D99"/>
    <w:rsid w:val="00E372B6"/>
    <w:rsid w:val="00E40CA3"/>
    <w:rsid w:val="00E42FF2"/>
    <w:rsid w:val="00E51E7B"/>
    <w:rsid w:val="00E551F2"/>
    <w:rsid w:val="00E611F4"/>
    <w:rsid w:val="00E63170"/>
    <w:rsid w:val="00E7298C"/>
    <w:rsid w:val="00E80B01"/>
    <w:rsid w:val="00E80C8D"/>
    <w:rsid w:val="00E815B3"/>
    <w:rsid w:val="00E92FAE"/>
    <w:rsid w:val="00E93047"/>
    <w:rsid w:val="00E93205"/>
    <w:rsid w:val="00E93694"/>
    <w:rsid w:val="00E93C2B"/>
    <w:rsid w:val="00E97A42"/>
    <w:rsid w:val="00EA1579"/>
    <w:rsid w:val="00EA1632"/>
    <w:rsid w:val="00EA39AD"/>
    <w:rsid w:val="00EA5A45"/>
    <w:rsid w:val="00EB1547"/>
    <w:rsid w:val="00EB3B84"/>
    <w:rsid w:val="00EB444F"/>
    <w:rsid w:val="00EB5352"/>
    <w:rsid w:val="00EB5A7B"/>
    <w:rsid w:val="00EC25E3"/>
    <w:rsid w:val="00EC3227"/>
    <w:rsid w:val="00EC7568"/>
    <w:rsid w:val="00EC75E5"/>
    <w:rsid w:val="00ED08A1"/>
    <w:rsid w:val="00ED1993"/>
    <w:rsid w:val="00ED4D69"/>
    <w:rsid w:val="00ED6C9F"/>
    <w:rsid w:val="00EE08AA"/>
    <w:rsid w:val="00EE7F5F"/>
    <w:rsid w:val="00EF64BD"/>
    <w:rsid w:val="00F13E6D"/>
    <w:rsid w:val="00F232FF"/>
    <w:rsid w:val="00F27C91"/>
    <w:rsid w:val="00F31978"/>
    <w:rsid w:val="00F36615"/>
    <w:rsid w:val="00F40DFE"/>
    <w:rsid w:val="00F464C9"/>
    <w:rsid w:val="00F465A1"/>
    <w:rsid w:val="00F52202"/>
    <w:rsid w:val="00F54F8B"/>
    <w:rsid w:val="00F64BE8"/>
    <w:rsid w:val="00F723F1"/>
    <w:rsid w:val="00F87AC4"/>
    <w:rsid w:val="00F92B67"/>
    <w:rsid w:val="00F934BA"/>
    <w:rsid w:val="00F9788B"/>
    <w:rsid w:val="00F979CD"/>
    <w:rsid w:val="00FA4A41"/>
    <w:rsid w:val="00FB4614"/>
    <w:rsid w:val="00FB7237"/>
    <w:rsid w:val="00FC0F25"/>
    <w:rsid w:val="00FC4084"/>
    <w:rsid w:val="00FD38B8"/>
    <w:rsid w:val="00FE549C"/>
    <w:rsid w:val="00FF4B59"/>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link w:val="DefaultTextChar"/>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Strong">
    <w:name w:val="Strong"/>
    <w:basedOn w:val="DefaultParagraphFont"/>
    <w:uiPriority w:val="22"/>
    <w:qFormat/>
    <w:rsid w:val="001D042D"/>
    <w:rPr>
      <w:b/>
      <w:bCs/>
    </w:rPr>
  </w:style>
  <w:style w:type="paragraph" w:customStyle="1" w:styleId="ccc16d0">
    <w:name w:val="___ccc16d0"/>
    <w:basedOn w:val="Normal"/>
    <w:rsid w:val="001D042D"/>
    <w:pPr>
      <w:spacing w:before="100" w:beforeAutospacing="1" w:after="100" w:afterAutospacing="1" w:line="240" w:lineRule="auto"/>
    </w:pPr>
    <w:rPr>
      <w:rFonts w:ascii="Times New Roman" w:hAnsi="Times New Roman"/>
      <w:sz w:val="24"/>
      <w:lang w:val="en-IE" w:eastAsia="en-IE"/>
    </w:rPr>
  </w:style>
  <w:style w:type="table" w:customStyle="1" w:styleId="GridTable41">
    <w:name w:val="Grid Table 41"/>
    <w:basedOn w:val="TableNormal"/>
    <w:uiPriority w:val="49"/>
    <w:rsid w:val="00B55209"/>
    <w:pPr>
      <w:spacing w:after="0" w:line="240" w:lineRule="auto"/>
    </w:pPr>
    <w:rPr>
      <w:rFonts w:eastAsia="Times New Roman" w:hAnsi="Times New Roman" w:cs="Times New Roman"/>
      <w:lang w:val="en-IE" w:eastAsia="en-I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Subtitle Cover Page Char"/>
    <w:link w:val="ListParagraph"/>
    <w:uiPriority w:val="34"/>
    <w:locked/>
    <w:rsid w:val="00854392"/>
    <w:rPr>
      <w:rFonts w:ascii="Calibri" w:eastAsia="Times New Roman" w:hAnsi="Calibri" w:cs="Times New Roman"/>
      <w:szCs w:val="24"/>
      <w:lang w:val="en-GB"/>
    </w:rPr>
  </w:style>
  <w:style w:type="character" w:customStyle="1" w:styleId="DefaultTextChar">
    <w:name w:val="Default Text Char"/>
    <w:link w:val="DefaultText"/>
    <w:locked/>
    <w:rsid w:val="00854392"/>
    <w:rPr>
      <w:rFonts w:ascii="Calibri" w:eastAsia="Times New Roman" w:hAnsi="Calibri" w:cs="Times New Roman"/>
      <w:szCs w:val="20"/>
      <w:lang w:val="en-GB" w:eastAsia="ar-SA"/>
    </w:rPr>
  </w:style>
  <w:style w:type="character" w:customStyle="1" w:styleId="InitialStyle">
    <w:name w:val="InitialStyle"/>
    <w:rsid w:val="00854392"/>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26"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image" Target="media/image1.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DF46A91D7C5749F490DCF580AB3DA0B7"/>
        <w:category>
          <w:name w:val="General"/>
          <w:gallery w:val="placeholder"/>
        </w:category>
        <w:types>
          <w:type w:val="bbPlcHdr"/>
        </w:types>
        <w:behaviors>
          <w:behavior w:val="content"/>
        </w:behaviors>
        <w:guid w:val="{91F2079F-5DE1-4B51-B158-C99BC7315A13}"/>
      </w:docPartPr>
      <w:docPartBody>
        <w:p w:rsidR="001D63B7" w:rsidRDefault="00723B99" w:rsidP="00723B99">
          <w:pPr>
            <w:pStyle w:val="DF46A91D7C5749F490DCF580AB3DA0B7"/>
          </w:pPr>
          <w:r w:rsidRPr="00614743">
            <w:rPr>
              <w:rStyle w:val="PlaceholderText"/>
            </w:rPr>
            <w:t>Click or tap here to enter text.</w:t>
          </w:r>
        </w:p>
      </w:docPartBody>
    </w:docPart>
    <w:docPart>
      <w:docPartPr>
        <w:name w:val="3F434936992A469F9355C47F7A0A43AD"/>
        <w:category>
          <w:name w:val="General"/>
          <w:gallery w:val="placeholder"/>
        </w:category>
        <w:types>
          <w:type w:val="bbPlcHdr"/>
        </w:types>
        <w:behaviors>
          <w:behavior w:val="content"/>
        </w:behaviors>
        <w:guid w:val="{B559F5D4-6A63-4CC4-9512-0113B5613A9A}"/>
      </w:docPartPr>
      <w:docPartBody>
        <w:p w:rsidR="001D63B7" w:rsidRDefault="00723B99" w:rsidP="00723B99">
          <w:pPr>
            <w:pStyle w:val="3F434936992A469F9355C47F7A0A43AD"/>
          </w:pPr>
          <w:r w:rsidRPr="009F2CFB">
            <w:rPr>
              <w:rStyle w:val="PlaceholderText"/>
            </w:rPr>
            <w:t>[</w:t>
          </w:r>
          <w:r w:rsidRPr="009F2CFB">
            <w:rPr>
              <w:rStyle w:val="PlaceholderText"/>
              <w:color w:val="FF0000"/>
            </w:rPr>
            <w:t>insert award criteria and weightings</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3383"/>
    <w:rsid w:val="000878A3"/>
    <w:rsid w:val="00096EC6"/>
    <w:rsid w:val="000A6AB2"/>
    <w:rsid w:val="000C1EE8"/>
    <w:rsid w:val="000C7DB3"/>
    <w:rsid w:val="000D1004"/>
    <w:rsid w:val="000E269E"/>
    <w:rsid w:val="000E3CA6"/>
    <w:rsid w:val="000E50F2"/>
    <w:rsid w:val="000F16A3"/>
    <w:rsid w:val="00120EEE"/>
    <w:rsid w:val="0013102B"/>
    <w:rsid w:val="0017502A"/>
    <w:rsid w:val="001D63B7"/>
    <w:rsid w:val="00202000"/>
    <w:rsid w:val="0021568F"/>
    <w:rsid w:val="002411F6"/>
    <w:rsid w:val="00243E81"/>
    <w:rsid w:val="002954EC"/>
    <w:rsid w:val="002A6E87"/>
    <w:rsid w:val="002B4D30"/>
    <w:rsid w:val="00342601"/>
    <w:rsid w:val="003C47B8"/>
    <w:rsid w:val="003D0F6C"/>
    <w:rsid w:val="003F7A40"/>
    <w:rsid w:val="00416790"/>
    <w:rsid w:val="00422C77"/>
    <w:rsid w:val="00423548"/>
    <w:rsid w:val="004368B4"/>
    <w:rsid w:val="00461DA6"/>
    <w:rsid w:val="004631ED"/>
    <w:rsid w:val="0047190E"/>
    <w:rsid w:val="0048189C"/>
    <w:rsid w:val="00487134"/>
    <w:rsid w:val="004D3DF9"/>
    <w:rsid w:val="004D6731"/>
    <w:rsid w:val="004F3EAD"/>
    <w:rsid w:val="005005BD"/>
    <w:rsid w:val="00520CC8"/>
    <w:rsid w:val="00550BBC"/>
    <w:rsid w:val="0056395A"/>
    <w:rsid w:val="00573AF8"/>
    <w:rsid w:val="00593781"/>
    <w:rsid w:val="005F0348"/>
    <w:rsid w:val="00653685"/>
    <w:rsid w:val="006A5FDB"/>
    <w:rsid w:val="006B1429"/>
    <w:rsid w:val="006B47FC"/>
    <w:rsid w:val="00723B99"/>
    <w:rsid w:val="00752271"/>
    <w:rsid w:val="00790A85"/>
    <w:rsid w:val="007C0B47"/>
    <w:rsid w:val="007D0978"/>
    <w:rsid w:val="007D2102"/>
    <w:rsid w:val="00810459"/>
    <w:rsid w:val="00831B7E"/>
    <w:rsid w:val="00841662"/>
    <w:rsid w:val="00850C49"/>
    <w:rsid w:val="0085602E"/>
    <w:rsid w:val="008D3B33"/>
    <w:rsid w:val="009041FA"/>
    <w:rsid w:val="00930410"/>
    <w:rsid w:val="00975DA6"/>
    <w:rsid w:val="009825AB"/>
    <w:rsid w:val="009B3FDC"/>
    <w:rsid w:val="009D7763"/>
    <w:rsid w:val="009F5929"/>
    <w:rsid w:val="00A10250"/>
    <w:rsid w:val="00A33272"/>
    <w:rsid w:val="00A37992"/>
    <w:rsid w:val="00A62CC7"/>
    <w:rsid w:val="00A70F35"/>
    <w:rsid w:val="00A90020"/>
    <w:rsid w:val="00A96FA1"/>
    <w:rsid w:val="00AA15E9"/>
    <w:rsid w:val="00AB4676"/>
    <w:rsid w:val="00B539B8"/>
    <w:rsid w:val="00B64619"/>
    <w:rsid w:val="00BC5148"/>
    <w:rsid w:val="00BD508C"/>
    <w:rsid w:val="00C0248A"/>
    <w:rsid w:val="00C22A3B"/>
    <w:rsid w:val="00C43F9A"/>
    <w:rsid w:val="00C61719"/>
    <w:rsid w:val="00C7052B"/>
    <w:rsid w:val="00C90C2A"/>
    <w:rsid w:val="00C91457"/>
    <w:rsid w:val="00CC6B57"/>
    <w:rsid w:val="00D27C20"/>
    <w:rsid w:val="00D3147F"/>
    <w:rsid w:val="00D51611"/>
    <w:rsid w:val="00D67B35"/>
    <w:rsid w:val="00E0041B"/>
    <w:rsid w:val="00E50AD2"/>
    <w:rsid w:val="00E74482"/>
    <w:rsid w:val="00E8465B"/>
    <w:rsid w:val="00E84A40"/>
    <w:rsid w:val="00E96508"/>
    <w:rsid w:val="00E97654"/>
    <w:rsid w:val="00ED4D69"/>
    <w:rsid w:val="00F179AA"/>
    <w:rsid w:val="00F3224F"/>
    <w:rsid w:val="00F42675"/>
    <w:rsid w:val="00F44154"/>
    <w:rsid w:val="00FE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723B99"/>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 w:type="paragraph" w:customStyle="1" w:styleId="DF46A91D7C5749F490DCF580AB3DA0B7">
    <w:name w:val="DF46A91D7C5749F490DCF580AB3DA0B7"/>
    <w:rsid w:val="00723B99"/>
    <w:pPr>
      <w:spacing w:line="278" w:lineRule="auto"/>
    </w:pPr>
    <w:rPr>
      <w:kern w:val="2"/>
      <w:sz w:val="24"/>
      <w:szCs w:val="24"/>
      <w:lang w:val="en-IE" w:eastAsia="en-IE"/>
      <w14:ligatures w14:val="standardContextual"/>
    </w:rPr>
  </w:style>
  <w:style w:type="paragraph" w:customStyle="1" w:styleId="3F434936992A469F9355C47F7A0A43AD">
    <w:name w:val="3F434936992A469F9355C47F7A0A43AD"/>
    <w:rsid w:val="00723B99"/>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bstract>
  <CompanyAddress/>
  <CompanyPhone/>
  <CompanyFax>ICT Network &amp; Wireless Infrastructure Equipment, Licences, and associated support Services.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FD3D046F878C2447813D204388941C0F" ma:contentTypeVersion="91" ma:contentTypeDescription="" ma:contentTypeScope="" ma:versionID="3d797f9bd278bd542df2d4ffd4ac7cb3">
  <xsd:schema xmlns:xsd="http://www.w3.org/2001/XMLSchema" xmlns:xs="http://www.w3.org/2001/XMLSchema" xmlns:p="http://schemas.microsoft.com/office/2006/metadata/properties" xmlns:ns2="c786d823-29e5-4b71-9510-9401c16614d8" targetNamespace="http://schemas.microsoft.com/office/2006/metadata/properties" ma:root="true" ma:fieldsID="c09ac665f304918ada6704f1955d4892" ns2:_="">
    <xsd:import namespace="c786d823-29e5-4b71-9510-9401c16614d8"/>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d823-29e5-4b71-9510-9401c16614d8"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2a15cc3-ca08-4e87-be0d-6448a27b908e}" ma:internalName="TaxCatchAll" ma:showField="CatchAllData" ma:web="c786d823-29e5-4b71-9510-9401c1661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2a15cc3-ca08-4e87-be0d-6448a27b908e}" ma:internalName="TaxCatchAllLabel" ma:readOnly="true" ma:showField="CatchAllDataLabel" ma:web="c786d823-29e5-4b71-9510-9401c16614d8">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2b0dbdf-f126-4566-b9b3-88ad75327c51" ma:fieldId="{11f8bb48-43d6-459a-8b80-9123185593c7}" ma:sspId="6fac9b2a-73f1-4c4a-87bc-9413d0d74c69" ma:termSetId="3ad211d0-3017-47d3-ab04-bac4bbf8bdf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fac9b2a-73f1-4c4a-87bc-9413d0d74c69" ma:termSetId="8b1e78e5-372e-459a-93db-ef257fb3d2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fac9b2a-73f1-4c4a-87bc-9413d0d74c69" ma:termSetId="285a29cd-660e-4e54-8757-517f127049c2"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abae98d-4ca0-4543-9a4f-a9f8054d316c" ma:fieldId="{6bbd3faf-a5ab-4e5e-b8a6-a5e099cef439}" ma:sspId="6fac9b2a-73f1-4c4a-87bc-9413d0d74c69" ma:termSetId="6ba49623-f300-48dd-863b-990dd2a0c7b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fac9b2a-73f1-4c4a-87bc-9413d0d74c69"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FileStatus xmlns="c786d823-29e5-4b71-9510-9401c16614d8">Live</eDocs_FileStatus>
    <TaxCatchAll xmlns="c786d823-29e5-4b71-9510-9401c16614d8">
      <Value>5</Value>
      <Value>39</Value>
      <Value>1</Value>
      <Value>7</Value>
    </TaxCatchAll>
    <_vti_ItemDeclaredRecord xmlns="c786d823-29e5-4b71-9510-9401c16614d8" xsi:nil="true"/>
    <mbbd3fafa5ab4e5eb8a6a5e099cef439 xmlns="c786d823-29e5-4b71-9510-9401c16614d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5abae98d-4ca0-4543-9a4f-a9f8054d316c</TermId>
        </TermInfo>
      </Terms>
    </mbbd3fafa5ab4e5eb8a6a5e099cef439>
    <h1f8bb4843d6459a8b809123185593c7 xmlns="c786d823-29e5-4b71-9510-9401c16614d8">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62b0dbdf-f126-4566-b9b3-88ad75327c51</TermId>
        </TermInfo>
      </Terms>
    </h1f8bb4843d6459a8b809123185593c7>
    <fbaa881fc4ae443f9fdafbdd527793df xmlns="c786d823-29e5-4b71-9510-9401c16614d8">
      <Terms xmlns="http://schemas.microsoft.com/office/infopath/2007/PartnerControls"/>
    </fbaa881fc4ae443f9fdafbdd527793df>
    <eDocs_eFileName xmlns="c786d823-29e5-4b71-9510-9401c16614d8">HSA004-002-2026</eDocs_eFileName>
    <m02c691f3efa402dab5cbaa8c240a9e7 xmlns="c786d823-29e5-4b71-9510-9401c16614d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465bd74f-b6b4-4e3a-b71e-16515fdee45c</TermId>
        </TermInfo>
      </Terms>
    </m02c691f3efa402dab5cbaa8c240a9e7>
    <nb1b8a72855341e18dd75ce464e281f2 xmlns="c786d823-29e5-4b71-9510-9401c16614d8">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f29972df-42fc-4cc2-b4a3-fb2789bc1778</TermId>
        </TermInfo>
      </Terms>
    </nb1b8a72855341e18dd75ce464e281f2>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F98F1-E0E7-46F8-A7DF-B7C24085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d823-29e5-4b71-9510-9401c166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c786d823-29e5-4b71-9510-9401c16614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23747</Words>
  <Characters>135361</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Caitriona McDonald</cp:lastModifiedBy>
  <cp:revision>6</cp:revision>
  <dcterms:created xsi:type="dcterms:W3CDTF">2026-06-03T14:38:00Z</dcterms:created>
  <dcterms:modified xsi:type="dcterms:W3CDTF">2026-06-03T15:01:00Z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0x0101000BC94875665D404BB1351B53C41FD2C000FD3D046F878C2447813D204388941C0F</vt:lpwstr>
  </property>
  <property fmtid="{D5CDD505-2E9C-101B-9397-08002B2CF9AE}" pid="3" name="eDocs_DocumentTopics">
    <vt:lpwstr/>
  </property>
  <property fmtid="{D5CDD505-2E9C-101B-9397-08002B2CF9AE}" pid="4" name="eDocs_SeriesSubSeries">
    <vt:lpwstr>2;#002|230b5c71-8bf6-4beb-a83d-cddb41cc2b0c</vt:lpwstr>
  </property>
  <property fmtid="{D5CDD505-2E9C-101B-9397-08002B2CF9AE}" pid="5" name="_dlc_policyId">
    <vt:lpwstr/>
  </property>
  <property fmtid="{D5CDD505-2E9C-101B-9397-08002B2CF9AE}" pid="6" name="ItemRetentionFormula">
    <vt:lpwstr/>
  </property>
  <property fmtid="{D5CDD505-2E9C-101B-9397-08002B2CF9AE}" pid="7" name="_docset_NoMedatataSyncRequired">
    <vt:lpwstr>False</vt:lpwstr>
  </property>
  <property fmtid="{D5CDD505-2E9C-101B-9397-08002B2CF9AE}" pid="8" name="_dlc_LastRun">
    <vt:lpwstr>11/30/2019 23:00:37</vt:lpwstr>
  </property>
  <property fmtid="{D5CDD505-2E9C-101B-9397-08002B2CF9AE}" pid="9" name="eDocs_SecurityLevel">
    <vt:lpwstr>Unclassified</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eDocs_FileTopics">
    <vt:lpwstr>7;#Procurement|465bd74f-b6b4-4e3a-b71e-16515fdee45c</vt:lpwstr>
  </property>
  <property fmtid="{D5CDD505-2E9C-101B-9397-08002B2CF9AE}" pid="13" name="eDocs_Year">
    <vt:lpwstr>39;#2026|f29972df-42fc-4cc2-b4a3-fb2789bc1778</vt:lpwstr>
  </property>
  <property fmtid="{D5CDD505-2E9C-101B-9397-08002B2CF9AE}" pid="14" name="eDocs_SecurityClassification">
    <vt:lpwstr>5;#Unclassified|5abae98d-4ca0-4543-9a4f-a9f8054d316c</vt:lpwstr>
  </property>
  <property fmtid="{D5CDD505-2E9C-101B-9397-08002B2CF9AE}" pid="15" name="eDocs_Series">
    <vt:lpwstr>1;#004|62b0dbdf-f126-4566-b9b3-88ad75327c51</vt:lpwstr>
  </property>
</Properties>
</file>