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5A5A2" w14:textId="4682438B" w:rsidR="009B2987" w:rsidRPr="00B37DBF" w:rsidRDefault="00C94C8B">
      <w:pPr>
        <w:rPr>
          <w:rFonts w:ascii="Calibri" w:hAnsi="Calibri" w:cs="Calibri"/>
          <w:b/>
          <w:bCs/>
          <w:lang w:val="en-US"/>
        </w:rPr>
      </w:pPr>
      <w:r w:rsidRPr="00B37DBF">
        <w:rPr>
          <w:rFonts w:ascii="Calibri" w:hAnsi="Calibri" w:cs="Calibri"/>
          <w:b/>
          <w:bCs/>
          <w:lang w:val="en-US"/>
        </w:rPr>
        <w:t>Clarification NCTR2660 - Asbestos Consultancy</w:t>
      </w:r>
    </w:p>
    <w:tbl>
      <w:tblPr>
        <w:tblStyle w:val="TableGrid"/>
        <w:tblW w:w="0" w:type="auto"/>
        <w:tblLook w:val="04A0" w:firstRow="1" w:lastRow="0" w:firstColumn="1" w:lastColumn="0" w:noHBand="0" w:noVBand="1"/>
      </w:tblPr>
      <w:tblGrid>
        <w:gridCol w:w="988"/>
        <w:gridCol w:w="8505"/>
        <w:gridCol w:w="5895"/>
      </w:tblGrid>
      <w:tr w:rsidR="000D5AF5" w:rsidRPr="00B37DBF" w14:paraId="0BC33A93" w14:textId="77777777" w:rsidTr="1F27295C">
        <w:tc>
          <w:tcPr>
            <w:tcW w:w="988" w:type="dxa"/>
          </w:tcPr>
          <w:p w14:paraId="3E2E9D61" w14:textId="2D1A0C1A" w:rsidR="000D5AF5" w:rsidRPr="00B37DBF" w:rsidRDefault="000D5AF5">
            <w:pPr>
              <w:rPr>
                <w:rFonts w:ascii="Calibri" w:hAnsi="Calibri" w:cs="Calibri"/>
                <w:b/>
                <w:bCs/>
                <w:sz w:val="20"/>
                <w:szCs w:val="20"/>
                <w:lang w:val="en-US"/>
              </w:rPr>
            </w:pPr>
            <w:r w:rsidRPr="00B37DBF">
              <w:rPr>
                <w:rFonts w:ascii="Calibri" w:hAnsi="Calibri" w:cs="Calibri"/>
                <w:b/>
                <w:bCs/>
                <w:sz w:val="20"/>
                <w:szCs w:val="20"/>
                <w:lang w:val="en-US"/>
              </w:rPr>
              <w:t>Item</w:t>
            </w:r>
          </w:p>
        </w:tc>
        <w:tc>
          <w:tcPr>
            <w:tcW w:w="8505" w:type="dxa"/>
          </w:tcPr>
          <w:p w14:paraId="1D58627D" w14:textId="30C54369" w:rsidR="000D5AF5" w:rsidRPr="00B37DBF" w:rsidRDefault="000D5AF5">
            <w:pPr>
              <w:rPr>
                <w:rFonts w:ascii="Calibri" w:hAnsi="Calibri" w:cs="Calibri"/>
                <w:b/>
                <w:bCs/>
                <w:sz w:val="20"/>
                <w:szCs w:val="20"/>
                <w:lang w:val="en-US"/>
              </w:rPr>
            </w:pPr>
            <w:r w:rsidRPr="00B37DBF">
              <w:rPr>
                <w:rFonts w:ascii="Calibri" w:hAnsi="Calibri" w:cs="Calibri"/>
                <w:b/>
                <w:bCs/>
                <w:sz w:val="20"/>
                <w:szCs w:val="20"/>
                <w:lang w:val="en-US"/>
              </w:rPr>
              <w:t>Clarification</w:t>
            </w:r>
          </w:p>
        </w:tc>
        <w:tc>
          <w:tcPr>
            <w:tcW w:w="5895" w:type="dxa"/>
          </w:tcPr>
          <w:p w14:paraId="62C71D7D" w14:textId="789E26EB" w:rsidR="000D5AF5" w:rsidRPr="00B37DBF" w:rsidRDefault="000D5AF5">
            <w:pPr>
              <w:rPr>
                <w:rFonts w:ascii="Calibri" w:hAnsi="Calibri" w:cs="Calibri"/>
                <w:b/>
                <w:bCs/>
                <w:sz w:val="20"/>
                <w:szCs w:val="20"/>
                <w:lang w:val="en-US"/>
              </w:rPr>
            </w:pPr>
            <w:r w:rsidRPr="00B37DBF">
              <w:rPr>
                <w:rFonts w:ascii="Calibri" w:hAnsi="Calibri" w:cs="Calibri"/>
                <w:b/>
                <w:bCs/>
                <w:sz w:val="20"/>
                <w:szCs w:val="20"/>
                <w:lang w:val="en-US"/>
              </w:rPr>
              <w:t>Response</w:t>
            </w:r>
          </w:p>
        </w:tc>
      </w:tr>
      <w:tr w:rsidR="000D5AF5" w:rsidRPr="00B37DBF" w14:paraId="6D49C26D" w14:textId="77777777" w:rsidTr="1F27295C">
        <w:tc>
          <w:tcPr>
            <w:tcW w:w="988" w:type="dxa"/>
          </w:tcPr>
          <w:p w14:paraId="5BAADE09" w14:textId="7CD212E5" w:rsidR="000D5AF5" w:rsidRPr="00B37DBF" w:rsidRDefault="00E84D85">
            <w:pPr>
              <w:rPr>
                <w:rFonts w:ascii="Calibri" w:hAnsi="Calibri" w:cs="Calibri"/>
                <w:b/>
                <w:bCs/>
                <w:sz w:val="20"/>
                <w:szCs w:val="20"/>
                <w:lang w:val="en-US"/>
              </w:rPr>
            </w:pPr>
            <w:r w:rsidRPr="00B37DBF">
              <w:rPr>
                <w:rFonts w:ascii="Calibri" w:hAnsi="Calibri" w:cs="Calibri"/>
                <w:b/>
                <w:bCs/>
                <w:sz w:val="20"/>
                <w:szCs w:val="20"/>
                <w:lang w:val="en-US"/>
              </w:rPr>
              <w:t>1</w:t>
            </w:r>
          </w:p>
        </w:tc>
        <w:tc>
          <w:tcPr>
            <w:tcW w:w="8505" w:type="dxa"/>
          </w:tcPr>
          <w:p w14:paraId="4514E7CB" w14:textId="61FB5E06" w:rsidR="005D2D5B" w:rsidRPr="00B37DBF" w:rsidRDefault="00E84D85" w:rsidP="00FF09C7">
            <w:pPr>
              <w:rPr>
                <w:rFonts w:ascii="Calibri" w:hAnsi="Calibri" w:cs="Calibri"/>
                <w:b/>
                <w:bCs/>
                <w:sz w:val="20"/>
                <w:szCs w:val="20"/>
                <w:lang w:val="en-US"/>
              </w:rPr>
            </w:pPr>
            <w:r w:rsidRPr="00B37DBF">
              <w:rPr>
                <w:rFonts w:ascii="Calibri" w:hAnsi="Calibri" w:cs="Calibri"/>
                <w:b/>
                <w:bCs/>
                <w:color w:val="00241A"/>
                <w:sz w:val="20"/>
                <w:szCs w:val="20"/>
                <w:shd w:val="clear" w:color="auto" w:fill="FFFFFF"/>
              </w:rPr>
              <w:t>Linenhall Building - Existing Asbestos Register</w:t>
            </w:r>
            <w:r w:rsidRPr="00B37DBF">
              <w:rPr>
                <w:rFonts w:ascii="Calibri" w:hAnsi="Calibri" w:cs="Calibri"/>
                <w:b/>
                <w:bCs/>
                <w:color w:val="00241A"/>
                <w:sz w:val="20"/>
                <w:szCs w:val="20"/>
              </w:rPr>
              <w:br/>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Section 2.7 states, "The existing building Asbestos Surveys will be provided to the successful tenderer." To enable accurate pricing for the Linenhall Management Survey, please can you provide:</w:t>
            </w:r>
          </w:p>
        </w:tc>
        <w:tc>
          <w:tcPr>
            <w:tcW w:w="5895" w:type="dxa"/>
          </w:tcPr>
          <w:p w14:paraId="4E0D3F7F" w14:textId="6F306849" w:rsidR="000D5AF5" w:rsidRPr="00B37DBF" w:rsidRDefault="00ED5B22">
            <w:pPr>
              <w:rPr>
                <w:rFonts w:ascii="Calibri" w:hAnsi="Calibri" w:cs="Calibri"/>
                <w:b/>
                <w:bCs/>
                <w:sz w:val="20"/>
                <w:szCs w:val="20"/>
                <w:lang w:val="en-US"/>
              </w:rPr>
            </w:pPr>
            <w:r w:rsidRPr="00B37DBF">
              <w:rPr>
                <w:rFonts w:ascii="Calibri" w:hAnsi="Calibri" w:cs="Calibri"/>
                <w:b/>
                <w:bCs/>
                <w:sz w:val="20"/>
                <w:szCs w:val="20"/>
                <w:lang w:val="en-US"/>
              </w:rPr>
              <w:t>The existing building Asbestos Surveys will be provided to the successful tenderer.</w:t>
            </w:r>
          </w:p>
        </w:tc>
      </w:tr>
      <w:tr w:rsidR="00ED5B22" w:rsidRPr="00B37DBF" w14:paraId="4CF543E1" w14:textId="77777777" w:rsidTr="1F27295C">
        <w:tc>
          <w:tcPr>
            <w:tcW w:w="988" w:type="dxa"/>
          </w:tcPr>
          <w:p w14:paraId="1C460308" w14:textId="087049AC" w:rsidR="00ED5B22" w:rsidRPr="00B37DBF" w:rsidRDefault="004B3D44">
            <w:pPr>
              <w:rPr>
                <w:rFonts w:ascii="Calibri" w:hAnsi="Calibri" w:cs="Calibri"/>
                <w:b/>
                <w:bCs/>
                <w:sz w:val="20"/>
                <w:szCs w:val="20"/>
                <w:lang w:val="en-US"/>
              </w:rPr>
            </w:pPr>
            <w:r w:rsidRPr="00B37DBF">
              <w:rPr>
                <w:rFonts w:ascii="Calibri" w:hAnsi="Calibri" w:cs="Calibri"/>
                <w:b/>
                <w:bCs/>
                <w:sz w:val="20"/>
                <w:szCs w:val="20"/>
                <w:lang w:val="en-US"/>
              </w:rPr>
              <w:t>1(i)</w:t>
            </w:r>
          </w:p>
        </w:tc>
        <w:tc>
          <w:tcPr>
            <w:tcW w:w="8505" w:type="dxa"/>
          </w:tcPr>
          <w:p w14:paraId="44EEFB49" w14:textId="5638C51A" w:rsidR="00ED5B22" w:rsidRPr="00B37DBF" w:rsidRDefault="00ED5B22" w:rsidP="00FF09C7">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-The existing asbestos register/survey reports for Linenhall Building?</w:t>
            </w:r>
          </w:p>
        </w:tc>
        <w:tc>
          <w:tcPr>
            <w:tcW w:w="5895" w:type="dxa"/>
          </w:tcPr>
          <w:p w14:paraId="1F2AEDE6" w14:textId="68CF3F95" w:rsidR="00ED5B22" w:rsidRPr="00B37DBF" w:rsidRDefault="00150A82">
            <w:pPr>
              <w:rPr>
                <w:rFonts w:ascii="Calibri" w:hAnsi="Calibri" w:cs="Calibri"/>
                <w:b/>
                <w:bCs/>
                <w:sz w:val="20"/>
                <w:szCs w:val="20"/>
                <w:lang w:val="en-US"/>
              </w:rPr>
            </w:pPr>
            <w:r w:rsidRPr="00B37DBF">
              <w:rPr>
                <w:rFonts w:ascii="Calibri" w:hAnsi="Calibri" w:cs="Calibri"/>
                <w:b/>
                <w:bCs/>
                <w:sz w:val="20"/>
                <w:szCs w:val="20"/>
                <w:lang w:val="en-US"/>
              </w:rPr>
              <w:t>There is known Asbestos within the building (Refer to Appendix 1, Section 2.6) – for the purposes of tender the survey needs to fulfill the requirements of Management Asbestos Survey as identified in Appendix 1, Section 2.3 and as stipulated by the HSA Asbestos Containing Materials (ACMs) in Workplaces – Practical Guidelines on ACM Management and Abatement &amp; HSE (UK) technical standard HSG 264 Asbestos: The Survey Guide.</w:t>
            </w:r>
          </w:p>
        </w:tc>
      </w:tr>
      <w:tr w:rsidR="00ED5B22" w:rsidRPr="00B37DBF" w14:paraId="168EB796" w14:textId="77777777" w:rsidTr="1F27295C">
        <w:tc>
          <w:tcPr>
            <w:tcW w:w="988" w:type="dxa"/>
          </w:tcPr>
          <w:p w14:paraId="5AB1425C" w14:textId="1653A85F" w:rsidR="00ED5B22" w:rsidRPr="00B37DBF" w:rsidRDefault="004B3D44">
            <w:pPr>
              <w:rPr>
                <w:rFonts w:ascii="Calibri" w:hAnsi="Calibri" w:cs="Calibri"/>
                <w:b/>
                <w:bCs/>
                <w:sz w:val="20"/>
                <w:szCs w:val="20"/>
                <w:lang w:val="en-US"/>
              </w:rPr>
            </w:pPr>
            <w:r w:rsidRPr="00B37DBF">
              <w:rPr>
                <w:rFonts w:ascii="Calibri" w:hAnsi="Calibri" w:cs="Calibri"/>
                <w:b/>
                <w:bCs/>
                <w:sz w:val="20"/>
                <w:szCs w:val="20"/>
                <w:lang w:val="en-US"/>
              </w:rPr>
              <w:t>1(ii)</w:t>
            </w:r>
          </w:p>
        </w:tc>
        <w:tc>
          <w:tcPr>
            <w:tcW w:w="8505" w:type="dxa"/>
          </w:tcPr>
          <w:p w14:paraId="5D4BB47D" w14:textId="390B3FC8" w:rsidR="00ED5B22" w:rsidRPr="00B37DBF" w:rsidRDefault="00150A82" w:rsidP="00FF09C7">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-The date of the last survey?</w:t>
            </w:r>
          </w:p>
        </w:tc>
        <w:tc>
          <w:tcPr>
            <w:tcW w:w="5895" w:type="dxa"/>
          </w:tcPr>
          <w:p w14:paraId="3C57FCEC" w14:textId="57F8480D" w:rsidR="00ED5B22" w:rsidRPr="00B37DBF" w:rsidRDefault="00890396">
            <w:pPr>
              <w:rPr>
                <w:rFonts w:ascii="Calibri" w:hAnsi="Calibri" w:cs="Calibri"/>
                <w:b/>
                <w:bCs/>
                <w:sz w:val="20"/>
                <w:szCs w:val="20"/>
                <w:lang w:val="en-US"/>
              </w:rPr>
            </w:pPr>
            <w:r w:rsidRPr="00B37DBF">
              <w:rPr>
                <w:rFonts w:ascii="Calibri" w:hAnsi="Calibri" w:cs="Calibri"/>
                <w:b/>
                <w:bCs/>
                <w:sz w:val="20"/>
                <w:szCs w:val="20"/>
                <w:lang w:val="en-US"/>
              </w:rPr>
              <w:t>2011</w:t>
            </w:r>
          </w:p>
        </w:tc>
      </w:tr>
      <w:tr w:rsidR="00890396" w:rsidRPr="00B37DBF" w14:paraId="6F9047CB" w14:textId="77777777" w:rsidTr="1F27295C">
        <w:tc>
          <w:tcPr>
            <w:tcW w:w="988" w:type="dxa"/>
          </w:tcPr>
          <w:p w14:paraId="76C31FA0" w14:textId="37ECC48E" w:rsidR="00890396" w:rsidRPr="00B37DBF" w:rsidRDefault="004B3D44">
            <w:pPr>
              <w:rPr>
                <w:rFonts w:ascii="Calibri" w:hAnsi="Calibri" w:cs="Calibri"/>
                <w:b/>
                <w:bCs/>
                <w:sz w:val="20"/>
                <w:szCs w:val="20"/>
                <w:lang w:val="en-US"/>
              </w:rPr>
            </w:pPr>
            <w:r w:rsidRPr="00B37DBF">
              <w:rPr>
                <w:rFonts w:ascii="Calibri" w:hAnsi="Calibri" w:cs="Calibri"/>
                <w:b/>
                <w:bCs/>
                <w:sz w:val="20"/>
                <w:szCs w:val="20"/>
                <w:lang w:val="en-US"/>
              </w:rPr>
              <w:t>1(iii)</w:t>
            </w:r>
          </w:p>
        </w:tc>
        <w:tc>
          <w:tcPr>
            <w:tcW w:w="8505" w:type="dxa"/>
          </w:tcPr>
          <w:p w14:paraId="36A13307" w14:textId="7D29C7B0" w:rsidR="00890396" w:rsidRPr="00B37DBF" w:rsidRDefault="00890396" w:rsidP="00FF09C7">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-Confirmation of which areas have had asbestos removed during previous refurbishment works?</w:t>
            </w:r>
          </w:p>
        </w:tc>
        <w:tc>
          <w:tcPr>
            <w:tcW w:w="5895" w:type="dxa"/>
          </w:tcPr>
          <w:p w14:paraId="612F5301" w14:textId="77ADB98E" w:rsidR="00890396" w:rsidRPr="00B37DBF" w:rsidRDefault="004B3D44">
            <w:pPr>
              <w:rPr>
                <w:rFonts w:ascii="Calibri" w:hAnsi="Calibri" w:cs="Calibri"/>
                <w:b/>
                <w:bCs/>
                <w:sz w:val="20"/>
                <w:szCs w:val="20"/>
                <w:lang w:val="en-US"/>
              </w:rPr>
            </w:pPr>
            <w:r w:rsidRPr="00B37DBF">
              <w:rPr>
                <w:rFonts w:ascii="Calibri" w:hAnsi="Calibri" w:cs="Calibri"/>
                <w:b/>
                <w:bCs/>
                <w:sz w:val="20"/>
                <w:szCs w:val="20"/>
                <w:lang w:val="en-US"/>
              </w:rPr>
              <w:t>Refer to response to Item 1(i) &amp; 2(ii)</w:t>
            </w:r>
          </w:p>
        </w:tc>
      </w:tr>
      <w:tr w:rsidR="00FF09C7" w:rsidRPr="00B37DBF" w14:paraId="2BE09375" w14:textId="77777777" w:rsidTr="1F27295C">
        <w:tc>
          <w:tcPr>
            <w:tcW w:w="988" w:type="dxa"/>
          </w:tcPr>
          <w:p w14:paraId="2C1C6471" w14:textId="51345073" w:rsidR="00FF09C7" w:rsidRPr="00B37DBF" w:rsidRDefault="00FF09C7">
            <w:pPr>
              <w:rPr>
                <w:rFonts w:ascii="Calibri" w:hAnsi="Calibri" w:cs="Calibri"/>
                <w:b/>
                <w:bCs/>
                <w:sz w:val="20"/>
                <w:szCs w:val="20"/>
                <w:lang w:val="en-US"/>
              </w:rPr>
            </w:pPr>
            <w:r w:rsidRPr="00B37DBF">
              <w:rPr>
                <w:rFonts w:ascii="Calibri" w:hAnsi="Calibri" w:cs="Calibri"/>
                <w:b/>
                <w:bCs/>
                <w:sz w:val="20"/>
                <w:szCs w:val="20"/>
                <w:lang w:val="en-US"/>
              </w:rPr>
              <w:t>2</w:t>
            </w:r>
          </w:p>
        </w:tc>
        <w:tc>
          <w:tcPr>
            <w:tcW w:w="8505" w:type="dxa"/>
          </w:tcPr>
          <w:p w14:paraId="584605E3" w14:textId="3A7E2EEC" w:rsidR="00FF09C7" w:rsidRPr="00B37DBF" w:rsidRDefault="00FF09C7" w:rsidP="0095675E">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Linenhall Building - RDAS Scope Clarification</w:t>
            </w:r>
            <w:r w:rsidRPr="00B37DBF">
              <w:rPr>
                <w:rFonts w:ascii="Calibri" w:hAnsi="Calibri" w:cs="Calibri"/>
                <w:b/>
                <w:bCs/>
                <w:color w:val="00241A"/>
                <w:sz w:val="20"/>
                <w:szCs w:val="20"/>
              </w:rPr>
              <w:br/>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The floor plans provided show refurbishment areas marked on the Ground Floor and First Floor only. Please can you clarify:</w:t>
            </w:r>
          </w:p>
        </w:tc>
        <w:tc>
          <w:tcPr>
            <w:tcW w:w="5895" w:type="dxa"/>
          </w:tcPr>
          <w:p w14:paraId="115CB035" w14:textId="77777777" w:rsidR="00FF09C7" w:rsidRPr="00B37DBF" w:rsidRDefault="00FF09C7">
            <w:pPr>
              <w:rPr>
                <w:rFonts w:ascii="Calibri" w:hAnsi="Calibri" w:cs="Calibri"/>
                <w:b/>
                <w:bCs/>
                <w:sz w:val="20"/>
                <w:szCs w:val="20"/>
                <w:lang w:val="en-US"/>
              </w:rPr>
            </w:pPr>
          </w:p>
        </w:tc>
      </w:tr>
      <w:tr w:rsidR="004B3D44" w:rsidRPr="00B37DBF" w14:paraId="18EE4F00" w14:textId="77777777" w:rsidTr="1F27295C">
        <w:tc>
          <w:tcPr>
            <w:tcW w:w="988" w:type="dxa"/>
          </w:tcPr>
          <w:p w14:paraId="58922245" w14:textId="4278DA6D" w:rsidR="004B3D44" w:rsidRPr="00B37DBF" w:rsidRDefault="00236D0C">
            <w:pPr>
              <w:rPr>
                <w:rFonts w:ascii="Calibri" w:hAnsi="Calibri" w:cs="Calibri"/>
                <w:b/>
                <w:bCs/>
                <w:sz w:val="20"/>
                <w:szCs w:val="20"/>
                <w:lang w:val="en-US"/>
              </w:rPr>
            </w:pPr>
            <w:r w:rsidRPr="00B37DBF">
              <w:rPr>
                <w:rFonts w:ascii="Calibri" w:hAnsi="Calibri" w:cs="Calibri"/>
                <w:b/>
                <w:bCs/>
                <w:sz w:val="20"/>
                <w:szCs w:val="20"/>
                <w:lang w:val="en-US"/>
              </w:rPr>
              <w:t>2(i)</w:t>
            </w:r>
          </w:p>
        </w:tc>
        <w:tc>
          <w:tcPr>
            <w:tcW w:w="8505" w:type="dxa"/>
          </w:tcPr>
          <w:p w14:paraId="79398AFA" w14:textId="417D3168" w:rsidR="004B3D44" w:rsidRPr="00B37DBF" w:rsidRDefault="005002BF" w:rsidP="0095675E">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--What is the scope/nature of the refurbishment works planned (e.g., strip-out, structural works, M/E upgrades, change of use)?</w:t>
            </w:r>
          </w:p>
        </w:tc>
        <w:tc>
          <w:tcPr>
            <w:tcW w:w="5895" w:type="dxa"/>
          </w:tcPr>
          <w:p w14:paraId="2F9597D3" w14:textId="115A075E" w:rsidR="004B3D44" w:rsidRPr="00B37DBF" w:rsidRDefault="00236D0C">
            <w:pPr>
              <w:rPr>
                <w:rFonts w:ascii="Calibri" w:hAnsi="Calibri" w:cs="Calibri"/>
                <w:b/>
                <w:bCs/>
                <w:sz w:val="20"/>
                <w:szCs w:val="20"/>
                <w:lang w:val="en-US"/>
              </w:rPr>
            </w:pPr>
            <w:r w:rsidRPr="00B37DBF">
              <w:rPr>
                <w:rFonts w:ascii="Calibri" w:hAnsi="Calibri" w:cs="Calibri"/>
                <w:b/>
                <w:bCs/>
                <w:sz w:val="20"/>
                <w:szCs w:val="20"/>
                <w:lang w:val="en-US"/>
              </w:rPr>
              <w:t xml:space="preserve">Full refurbishment of the space </w:t>
            </w:r>
            <w:r w:rsidR="00683A22" w:rsidRPr="00B37DBF">
              <w:rPr>
                <w:rFonts w:ascii="Calibri" w:hAnsi="Calibri" w:cs="Calibri"/>
                <w:b/>
                <w:bCs/>
                <w:sz w:val="20"/>
                <w:szCs w:val="20"/>
                <w:lang w:val="en-US"/>
              </w:rPr>
              <w:t>-</w:t>
            </w:r>
            <w:r w:rsidRPr="00B37DBF">
              <w:rPr>
                <w:rFonts w:ascii="Calibri" w:hAnsi="Calibri" w:cs="Calibri"/>
                <w:b/>
                <w:bCs/>
                <w:sz w:val="20"/>
                <w:szCs w:val="20"/>
                <w:lang w:val="en-US"/>
              </w:rPr>
              <w:t xml:space="preserve"> the use will remain as a workshop but for a different cohort </w:t>
            </w:r>
            <w:r w:rsidR="0005154A" w:rsidRPr="00B37DBF">
              <w:rPr>
                <w:rFonts w:ascii="Calibri" w:hAnsi="Calibri" w:cs="Calibri"/>
                <w:b/>
                <w:bCs/>
                <w:sz w:val="20"/>
                <w:szCs w:val="20"/>
                <w:lang w:val="en-US"/>
              </w:rPr>
              <w:t>i.e.</w:t>
            </w:r>
            <w:r w:rsidRPr="00B37DBF">
              <w:rPr>
                <w:rFonts w:ascii="Calibri" w:hAnsi="Calibri" w:cs="Calibri"/>
                <w:b/>
                <w:bCs/>
                <w:sz w:val="20"/>
                <w:szCs w:val="20"/>
                <w:lang w:val="en-US"/>
              </w:rPr>
              <w:t>. different layout/equipment etc.</w:t>
            </w:r>
          </w:p>
        </w:tc>
      </w:tr>
      <w:tr w:rsidR="004B3D44" w:rsidRPr="00B37DBF" w14:paraId="34DACB3F" w14:textId="77777777" w:rsidTr="1F27295C">
        <w:tc>
          <w:tcPr>
            <w:tcW w:w="988" w:type="dxa"/>
          </w:tcPr>
          <w:p w14:paraId="4F8BB06D" w14:textId="2A332696" w:rsidR="004B3D44" w:rsidRPr="00B37DBF" w:rsidRDefault="00A774AE">
            <w:pPr>
              <w:rPr>
                <w:rFonts w:ascii="Calibri" w:hAnsi="Calibri" w:cs="Calibri"/>
                <w:b/>
                <w:bCs/>
                <w:sz w:val="20"/>
                <w:szCs w:val="20"/>
                <w:lang w:val="en-US"/>
              </w:rPr>
            </w:pPr>
            <w:r w:rsidRPr="00B37DBF">
              <w:rPr>
                <w:rFonts w:ascii="Calibri" w:hAnsi="Calibri" w:cs="Calibri"/>
                <w:b/>
                <w:bCs/>
                <w:sz w:val="20"/>
                <w:szCs w:val="20"/>
                <w:lang w:val="en-US"/>
              </w:rPr>
              <w:t>2(ii)</w:t>
            </w:r>
          </w:p>
        </w:tc>
        <w:tc>
          <w:tcPr>
            <w:tcW w:w="8505" w:type="dxa"/>
          </w:tcPr>
          <w:p w14:paraId="3CFC1A58" w14:textId="33774B9D" w:rsidR="004B3D44" w:rsidRPr="00B37DBF" w:rsidRDefault="00247422" w:rsidP="0095675E">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-What level of intrusive survey is required (e.g., all ceiling voids, wall cavities, floor voids, service ducts)?</w:t>
            </w:r>
          </w:p>
        </w:tc>
        <w:tc>
          <w:tcPr>
            <w:tcW w:w="5895" w:type="dxa"/>
          </w:tcPr>
          <w:p w14:paraId="2E8B6628" w14:textId="714C778C" w:rsidR="004B3D44" w:rsidRPr="00B37DBF" w:rsidRDefault="00C53CEE">
            <w:pPr>
              <w:rPr>
                <w:rFonts w:ascii="Calibri" w:hAnsi="Calibri" w:cs="Calibri"/>
                <w:b/>
                <w:bCs/>
                <w:sz w:val="20"/>
                <w:szCs w:val="20"/>
                <w:lang w:val="en-US"/>
              </w:rPr>
            </w:pPr>
            <w:r w:rsidRPr="00B37DBF">
              <w:rPr>
                <w:rFonts w:ascii="Calibri" w:hAnsi="Calibri" w:cs="Calibri"/>
                <w:b/>
                <w:bCs/>
                <w:sz w:val="20"/>
                <w:szCs w:val="20"/>
                <w:lang w:val="en-US"/>
              </w:rPr>
              <w:t>Yes, this will be an intrusive survey. Refer to Appendix 1 Section 2.4 - The survey needs to fulfill the requirements of RDAS as stipulated by the HSA Asbestos Containing Materials (ACMs) in Workplaces – Practical Guidelines on ACM Management and Abatement &amp; HSE (UK) technical standard HSG 264 Asbestos: The Survey Guide.</w:t>
            </w:r>
          </w:p>
        </w:tc>
      </w:tr>
      <w:tr w:rsidR="00236D0C" w:rsidRPr="00B37DBF" w14:paraId="6EE52EBA" w14:textId="77777777" w:rsidTr="1F27295C">
        <w:tc>
          <w:tcPr>
            <w:tcW w:w="988" w:type="dxa"/>
          </w:tcPr>
          <w:p w14:paraId="4654F3BA" w14:textId="2FD3FEFA" w:rsidR="00236D0C" w:rsidRPr="00B37DBF" w:rsidRDefault="00A774AE">
            <w:pPr>
              <w:rPr>
                <w:rFonts w:ascii="Calibri" w:hAnsi="Calibri" w:cs="Calibri"/>
                <w:b/>
                <w:bCs/>
                <w:sz w:val="20"/>
                <w:szCs w:val="20"/>
                <w:lang w:val="en-US"/>
              </w:rPr>
            </w:pPr>
            <w:r w:rsidRPr="00B37DBF">
              <w:rPr>
                <w:rFonts w:ascii="Calibri" w:hAnsi="Calibri" w:cs="Calibri"/>
                <w:b/>
                <w:bCs/>
                <w:sz w:val="20"/>
                <w:szCs w:val="20"/>
                <w:lang w:val="en-US"/>
              </w:rPr>
              <w:t>2(iii)</w:t>
            </w:r>
          </w:p>
        </w:tc>
        <w:tc>
          <w:tcPr>
            <w:tcW w:w="8505" w:type="dxa"/>
          </w:tcPr>
          <w:p w14:paraId="441711F1" w14:textId="39562C17" w:rsidR="00236D0C" w:rsidRPr="00B37DBF" w:rsidRDefault="00236D0C" w:rsidP="0095675E">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-Will the areas be vacant during the survey period?</w:t>
            </w:r>
          </w:p>
        </w:tc>
        <w:tc>
          <w:tcPr>
            <w:tcW w:w="5895" w:type="dxa"/>
          </w:tcPr>
          <w:p w14:paraId="44182F8E" w14:textId="6EDA8A6C" w:rsidR="00236D0C" w:rsidRPr="00B37DBF" w:rsidRDefault="00E464BA">
            <w:pPr>
              <w:rPr>
                <w:rFonts w:ascii="Calibri" w:hAnsi="Calibri" w:cs="Calibri"/>
                <w:b/>
                <w:bCs/>
                <w:sz w:val="20"/>
                <w:szCs w:val="20"/>
                <w:lang w:val="en-US"/>
              </w:rPr>
            </w:pPr>
            <w:r w:rsidRPr="00B37DBF">
              <w:rPr>
                <w:rFonts w:ascii="Calibri" w:hAnsi="Calibri" w:cs="Calibri"/>
                <w:b/>
                <w:bCs/>
                <w:sz w:val="20"/>
                <w:szCs w:val="20"/>
                <w:lang w:val="en-US"/>
              </w:rPr>
              <w:t>Yes, spaces will be unoccupied, but furniture and equipment will remain insitu.</w:t>
            </w:r>
          </w:p>
        </w:tc>
      </w:tr>
      <w:tr w:rsidR="00236D0C" w:rsidRPr="00B37DBF" w14:paraId="3CDAD714" w14:textId="77777777" w:rsidTr="1F27295C">
        <w:tc>
          <w:tcPr>
            <w:tcW w:w="988" w:type="dxa"/>
          </w:tcPr>
          <w:p w14:paraId="54EAF6D8" w14:textId="158F9C7A" w:rsidR="00236D0C" w:rsidRPr="00B37DBF" w:rsidRDefault="00A774AE">
            <w:pPr>
              <w:rPr>
                <w:rFonts w:ascii="Calibri" w:hAnsi="Calibri" w:cs="Calibri"/>
                <w:b/>
                <w:bCs/>
                <w:sz w:val="20"/>
                <w:szCs w:val="20"/>
                <w:lang w:val="en-US"/>
              </w:rPr>
            </w:pPr>
            <w:r w:rsidRPr="00B37DBF">
              <w:rPr>
                <w:rFonts w:ascii="Calibri" w:hAnsi="Calibri" w:cs="Calibri"/>
                <w:b/>
                <w:bCs/>
                <w:sz w:val="20"/>
                <w:szCs w:val="20"/>
                <w:lang w:val="en-US"/>
              </w:rPr>
              <w:t>2(iv)</w:t>
            </w:r>
          </w:p>
        </w:tc>
        <w:tc>
          <w:tcPr>
            <w:tcW w:w="8505" w:type="dxa"/>
          </w:tcPr>
          <w:p w14:paraId="550C9DBA" w14:textId="56ACAC2D" w:rsidR="00236D0C" w:rsidRPr="00B37DBF" w:rsidRDefault="00236D0C" w:rsidP="0095675E">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-Are Basement and Second Floor also included in the refurbishment scope?</w:t>
            </w:r>
          </w:p>
        </w:tc>
        <w:tc>
          <w:tcPr>
            <w:tcW w:w="5895" w:type="dxa"/>
          </w:tcPr>
          <w:p w14:paraId="600BB991" w14:textId="59ACB497" w:rsidR="00236D0C" w:rsidRPr="00B37DBF" w:rsidRDefault="00A774AE">
            <w:pPr>
              <w:rPr>
                <w:rFonts w:ascii="Calibri" w:hAnsi="Calibri" w:cs="Calibri"/>
                <w:b/>
                <w:bCs/>
                <w:sz w:val="20"/>
                <w:szCs w:val="20"/>
                <w:lang w:val="en-US"/>
              </w:rPr>
            </w:pPr>
            <w:r w:rsidRPr="00B37DBF">
              <w:rPr>
                <w:rFonts w:ascii="Calibri" w:hAnsi="Calibri" w:cs="Calibri"/>
                <w:b/>
                <w:bCs/>
                <w:sz w:val="20"/>
                <w:szCs w:val="20"/>
                <w:lang w:val="en-US"/>
              </w:rPr>
              <w:t>No, only spaces identified on the plans.</w:t>
            </w:r>
          </w:p>
        </w:tc>
      </w:tr>
      <w:tr w:rsidR="00236D0C" w:rsidRPr="00B37DBF" w14:paraId="771591B0" w14:textId="77777777" w:rsidTr="1F27295C">
        <w:tc>
          <w:tcPr>
            <w:tcW w:w="988" w:type="dxa"/>
          </w:tcPr>
          <w:p w14:paraId="7A376CD8" w14:textId="4CC4D5AE" w:rsidR="00236D0C" w:rsidRPr="00B37DBF" w:rsidRDefault="00A774AE">
            <w:pPr>
              <w:rPr>
                <w:rFonts w:ascii="Calibri" w:hAnsi="Calibri" w:cs="Calibri"/>
                <w:b/>
                <w:bCs/>
                <w:sz w:val="20"/>
                <w:szCs w:val="20"/>
                <w:lang w:val="en-US"/>
              </w:rPr>
            </w:pPr>
            <w:r w:rsidRPr="00B37DBF">
              <w:rPr>
                <w:rFonts w:ascii="Calibri" w:hAnsi="Calibri" w:cs="Calibri"/>
                <w:b/>
                <w:bCs/>
                <w:sz w:val="20"/>
                <w:szCs w:val="20"/>
                <w:lang w:val="en-US"/>
              </w:rPr>
              <w:t>2(v)</w:t>
            </w:r>
          </w:p>
        </w:tc>
        <w:tc>
          <w:tcPr>
            <w:tcW w:w="8505" w:type="dxa"/>
          </w:tcPr>
          <w:p w14:paraId="3B578D09" w14:textId="123D59DA" w:rsidR="00236D0C" w:rsidRPr="00B37DBF" w:rsidRDefault="00236D0C" w:rsidP="0095675E">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-What is the total approximate area (sqm) requiring RDAS across all floors?</w:t>
            </w:r>
          </w:p>
        </w:tc>
        <w:tc>
          <w:tcPr>
            <w:tcW w:w="5895" w:type="dxa"/>
          </w:tcPr>
          <w:p w14:paraId="28CA61C5" w14:textId="1B511EDA" w:rsidR="00236D0C" w:rsidRPr="00B37DBF" w:rsidRDefault="00C63896">
            <w:pPr>
              <w:rPr>
                <w:rFonts w:ascii="Calibri" w:hAnsi="Calibri" w:cs="Calibri"/>
                <w:b/>
                <w:bCs/>
                <w:sz w:val="20"/>
                <w:szCs w:val="20"/>
                <w:lang w:val="en-US"/>
              </w:rPr>
            </w:pPr>
            <w:r w:rsidRPr="00B37DBF">
              <w:rPr>
                <w:rFonts w:ascii="Calibri" w:hAnsi="Calibri" w:cs="Calibri"/>
                <w:b/>
                <w:bCs/>
                <w:sz w:val="20"/>
                <w:szCs w:val="20"/>
                <w:lang w:val="en-US"/>
              </w:rPr>
              <w:t>427sqm</w:t>
            </w:r>
          </w:p>
        </w:tc>
      </w:tr>
      <w:tr w:rsidR="00FF09C7" w:rsidRPr="00B37DBF" w14:paraId="15B79A0E" w14:textId="77777777" w:rsidTr="1F27295C">
        <w:tc>
          <w:tcPr>
            <w:tcW w:w="988" w:type="dxa"/>
          </w:tcPr>
          <w:p w14:paraId="5AB6AB17" w14:textId="0F02471A" w:rsidR="00FF09C7" w:rsidRPr="00B37DBF" w:rsidRDefault="00FF09C7">
            <w:pPr>
              <w:rPr>
                <w:rFonts w:ascii="Calibri" w:hAnsi="Calibri" w:cs="Calibri"/>
                <w:b/>
                <w:bCs/>
                <w:sz w:val="20"/>
                <w:szCs w:val="20"/>
                <w:lang w:val="en-US"/>
              </w:rPr>
            </w:pPr>
            <w:r w:rsidRPr="00B37DBF">
              <w:rPr>
                <w:rFonts w:ascii="Calibri" w:hAnsi="Calibri" w:cs="Calibri"/>
                <w:b/>
                <w:bCs/>
                <w:sz w:val="20"/>
                <w:szCs w:val="20"/>
                <w:lang w:val="en-US"/>
              </w:rPr>
              <w:t>3</w:t>
            </w:r>
          </w:p>
        </w:tc>
        <w:tc>
          <w:tcPr>
            <w:tcW w:w="8505" w:type="dxa"/>
          </w:tcPr>
          <w:p w14:paraId="2CCE88B8" w14:textId="72A3CAE8" w:rsidR="00FF09C7" w:rsidRPr="00B37DBF" w:rsidRDefault="00FF09C7" w:rsidP="0095675E">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Out-of-Hours Working Requirements for Linenhall Surveys</w:t>
            </w:r>
            <w:r w:rsidRPr="00B37DBF">
              <w:rPr>
                <w:rFonts w:ascii="Calibri" w:hAnsi="Calibri" w:cs="Calibri"/>
                <w:b/>
                <w:bCs/>
                <w:color w:val="00241A"/>
                <w:sz w:val="20"/>
                <w:szCs w:val="20"/>
              </w:rPr>
              <w:br/>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Section 2.5 states "Access may not be guaranteed during normal working hours, and the Consultant/Surveyor may be required to undertake survey work at times suitable to the Contracting Authority."</w:t>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Given that Linenhall Building is currently occupied by the School of Architecture and Built Environment with active teaching and studio spaces, please can you clarify:</w:t>
            </w:r>
          </w:p>
        </w:tc>
        <w:tc>
          <w:tcPr>
            <w:tcW w:w="5895" w:type="dxa"/>
          </w:tcPr>
          <w:p w14:paraId="0A5FBBE3" w14:textId="77777777" w:rsidR="00FF09C7" w:rsidRPr="00B37DBF" w:rsidRDefault="00FF09C7">
            <w:pPr>
              <w:rPr>
                <w:rFonts w:ascii="Calibri" w:hAnsi="Calibri" w:cs="Calibri"/>
                <w:b/>
                <w:bCs/>
                <w:sz w:val="20"/>
                <w:szCs w:val="20"/>
                <w:lang w:val="en-US"/>
              </w:rPr>
            </w:pPr>
          </w:p>
        </w:tc>
      </w:tr>
      <w:tr w:rsidR="00A774AE" w:rsidRPr="00B37DBF" w14:paraId="159C5F0F" w14:textId="77777777" w:rsidTr="1F27295C">
        <w:tc>
          <w:tcPr>
            <w:tcW w:w="988" w:type="dxa"/>
          </w:tcPr>
          <w:p w14:paraId="0F8E1DC4" w14:textId="66CB4D73" w:rsidR="00A774AE" w:rsidRPr="00B37DBF" w:rsidRDefault="00A774AE">
            <w:pPr>
              <w:rPr>
                <w:rFonts w:ascii="Calibri" w:hAnsi="Calibri" w:cs="Calibri"/>
                <w:b/>
                <w:bCs/>
                <w:sz w:val="20"/>
                <w:szCs w:val="20"/>
                <w:lang w:val="en-US"/>
              </w:rPr>
            </w:pPr>
            <w:r w:rsidRPr="00B37DBF">
              <w:rPr>
                <w:rFonts w:ascii="Calibri" w:hAnsi="Calibri" w:cs="Calibri"/>
                <w:b/>
                <w:bCs/>
                <w:sz w:val="20"/>
                <w:szCs w:val="20"/>
                <w:lang w:val="en-US"/>
              </w:rPr>
              <w:t>3(i)</w:t>
            </w:r>
          </w:p>
        </w:tc>
        <w:tc>
          <w:tcPr>
            <w:tcW w:w="8505" w:type="dxa"/>
          </w:tcPr>
          <w:p w14:paraId="5A18A0C6" w14:textId="5F35CBB0" w:rsidR="00A774AE" w:rsidRPr="00B37DBF" w:rsidRDefault="00A774AE" w:rsidP="00FF09C7">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 xml:space="preserve">-For the Management Asbestos Survey (MAS): Is it anticipated that survey work will need to be conducted outside normal working hours to minimise disruption to teaching activities? If yes, </w:t>
            </w:r>
            <w:proofErr w:type="gramStart"/>
            <w:r w:rsidRPr="00B37DBF">
              <w:rPr>
                <w:rFonts w:ascii="Calibri" w:hAnsi="Calibri" w:cs="Calibri"/>
                <w:b/>
                <w:bCs/>
                <w:color w:val="00241A"/>
                <w:sz w:val="20"/>
                <w:szCs w:val="20"/>
                <w:shd w:val="clear" w:color="auto" w:fill="FFFFFF"/>
              </w:rPr>
              <w:t>approximately what</w:t>
            </w:r>
            <w:proofErr w:type="gramEnd"/>
            <w:r w:rsidRPr="00B37DBF">
              <w:rPr>
                <w:rFonts w:ascii="Calibri" w:hAnsi="Calibri" w:cs="Calibri"/>
                <w:b/>
                <w:bCs/>
                <w:color w:val="00241A"/>
                <w:sz w:val="20"/>
                <w:szCs w:val="20"/>
                <w:shd w:val="clear" w:color="auto" w:fill="FFFFFF"/>
              </w:rPr>
              <w:t xml:space="preserve"> percentage of the survey work is expected to be out-of-hours?</w:t>
            </w:r>
          </w:p>
        </w:tc>
        <w:tc>
          <w:tcPr>
            <w:tcW w:w="5895" w:type="dxa"/>
          </w:tcPr>
          <w:p w14:paraId="7DDCAB16" w14:textId="61F38D01" w:rsidR="00A774AE" w:rsidRPr="00B37DBF" w:rsidRDefault="008A5A79">
            <w:pPr>
              <w:rPr>
                <w:rFonts w:ascii="Calibri" w:hAnsi="Calibri" w:cs="Calibri"/>
                <w:b/>
                <w:bCs/>
                <w:sz w:val="20"/>
                <w:szCs w:val="20"/>
                <w:lang w:val="en-US"/>
              </w:rPr>
            </w:pPr>
            <w:r w:rsidRPr="00B37DBF">
              <w:rPr>
                <w:rFonts w:ascii="Calibri" w:hAnsi="Calibri" w:cs="Calibri"/>
                <w:b/>
                <w:bCs/>
                <w:sz w:val="20"/>
                <w:szCs w:val="20"/>
                <w:lang w:val="en-US"/>
              </w:rPr>
              <w:t>MAS - survey will be undertaken outside of term time over summer months (2026).</w:t>
            </w:r>
          </w:p>
        </w:tc>
      </w:tr>
      <w:tr w:rsidR="00A774AE" w:rsidRPr="00B37DBF" w14:paraId="0076F07F" w14:textId="77777777" w:rsidTr="1F27295C">
        <w:tc>
          <w:tcPr>
            <w:tcW w:w="988" w:type="dxa"/>
          </w:tcPr>
          <w:p w14:paraId="34ECF705" w14:textId="4DA2E81E" w:rsidR="00A774AE" w:rsidRPr="00B37DBF" w:rsidRDefault="00A774AE">
            <w:pPr>
              <w:rPr>
                <w:rFonts w:ascii="Calibri" w:hAnsi="Calibri" w:cs="Calibri"/>
                <w:b/>
                <w:bCs/>
                <w:sz w:val="20"/>
                <w:szCs w:val="20"/>
                <w:lang w:val="en-US"/>
              </w:rPr>
            </w:pPr>
            <w:r w:rsidRPr="00B37DBF">
              <w:rPr>
                <w:rFonts w:ascii="Calibri" w:hAnsi="Calibri" w:cs="Calibri"/>
                <w:b/>
                <w:bCs/>
                <w:sz w:val="20"/>
                <w:szCs w:val="20"/>
                <w:lang w:val="en-US"/>
              </w:rPr>
              <w:t>3(ii)</w:t>
            </w:r>
          </w:p>
        </w:tc>
        <w:tc>
          <w:tcPr>
            <w:tcW w:w="8505" w:type="dxa"/>
          </w:tcPr>
          <w:p w14:paraId="01CD4AB2" w14:textId="291E2BD5" w:rsidR="00A774AE" w:rsidRPr="00B37DBF" w:rsidRDefault="00A774AE" w:rsidP="00FF09C7">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-For the Refurbishment and Demolition Survey (RDAS): Will the refurbishment areas be decanted/vacant during the survey period, or will out-of-hours access be required?</w:t>
            </w:r>
          </w:p>
        </w:tc>
        <w:tc>
          <w:tcPr>
            <w:tcW w:w="5895" w:type="dxa"/>
          </w:tcPr>
          <w:p w14:paraId="3BB7424A" w14:textId="3FCB7008" w:rsidR="00A774AE" w:rsidRPr="00B37DBF" w:rsidRDefault="00796B3B">
            <w:pPr>
              <w:rPr>
                <w:rFonts w:ascii="Calibri" w:hAnsi="Calibri" w:cs="Calibri"/>
                <w:b/>
                <w:bCs/>
                <w:sz w:val="20"/>
                <w:szCs w:val="20"/>
                <w:lang w:val="en-US"/>
              </w:rPr>
            </w:pPr>
            <w:r w:rsidRPr="00B37DBF">
              <w:rPr>
                <w:rFonts w:ascii="Calibri" w:hAnsi="Calibri" w:cs="Calibri"/>
                <w:b/>
                <w:bCs/>
                <w:sz w:val="20"/>
                <w:szCs w:val="20"/>
                <w:lang w:val="en-US"/>
              </w:rPr>
              <w:t>RDAS – spaces will be unoccupied, but equipment will remain in situ and to be undertaken outside of term time over the summer months (2026).</w:t>
            </w:r>
          </w:p>
        </w:tc>
      </w:tr>
      <w:tr w:rsidR="00A774AE" w:rsidRPr="00B37DBF" w14:paraId="449C5E46" w14:textId="77777777" w:rsidTr="1F27295C">
        <w:tc>
          <w:tcPr>
            <w:tcW w:w="988" w:type="dxa"/>
          </w:tcPr>
          <w:p w14:paraId="5A1CE059" w14:textId="734CBFEA" w:rsidR="00A774AE" w:rsidRPr="00B37DBF" w:rsidRDefault="00A774AE">
            <w:pPr>
              <w:rPr>
                <w:rFonts w:ascii="Calibri" w:hAnsi="Calibri" w:cs="Calibri"/>
                <w:b/>
                <w:bCs/>
                <w:sz w:val="20"/>
                <w:szCs w:val="20"/>
                <w:lang w:val="en-US"/>
              </w:rPr>
            </w:pPr>
            <w:r w:rsidRPr="00B37DBF">
              <w:rPr>
                <w:rFonts w:ascii="Calibri" w:hAnsi="Calibri" w:cs="Calibri"/>
                <w:b/>
                <w:bCs/>
                <w:sz w:val="20"/>
                <w:szCs w:val="20"/>
                <w:lang w:val="en-US"/>
              </w:rPr>
              <w:t>3(iii)</w:t>
            </w:r>
          </w:p>
        </w:tc>
        <w:tc>
          <w:tcPr>
            <w:tcW w:w="8505" w:type="dxa"/>
          </w:tcPr>
          <w:p w14:paraId="20D7A168" w14:textId="0584462D" w:rsidR="00A774AE" w:rsidRPr="00B37DBF" w:rsidRDefault="00A774AE" w:rsidP="00FF09C7">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-For future framework call-off works: Should we assume that surveys across occupied teaching/student accommodation buildings will typically require out-of-hours working?</w:t>
            </w:r>
          </w:p>
        </w:tc>
        <w:tc>
          <w:tcPr>
            <w:tcW w:w="5895" w:type="dxa"/>
          </w:tcPr>
          <w:p w14:paraId="0B57DBEA" w14:textId="17DE23EC" w:rsidR="00A774AE" w:rsidRPr="00B37DBF" w:rsidRDefault="0002011B">
            <w:pPr>
              <w:rPr>
                <w:rFonts w:ascii="Calibri" w:hAnsi="Calibri" w:cs="Calibri"/>
                <w:b/>
                <w:bCs/>
                <w:sz w:val="20"/>
                <w:szCs w:val="20"/>
                <w:lang w:val="en-US"/>
              </w:rPr>
            </w:pPr>
            <w:r w:rsidRPr="00B37DBF">
              <w:rPr>
                <w:rFonts w:ascii="Calibri" w:hAnsi="Calibri" w:cs="Calibri"/>
                <w:b/>
                <w:bCs/>
                <w:sz w:val="20"/>
                <w:szCs w:val="20"/>
                <w:lang w:val="en-US"/>
              </w:rPr>
              <w:t>For future call offs – The pricing schedule separately identifies out of hours costs and those within normal working hours.</w:t>
            </w:r>
          </w:p>
        </w:tc>
      </w:tr>
      <w:tr w:rsidR="00A774AE" w:rsidRPr="00B37DBF" w14:paraId="0B578F82" w14:textId="77777777" w:rsidTr="1F27295C">
        <w:tc>
          <w:tcPr>
            <w:tcW w:w="988" w:type="dxa"/>
          </w:tcPr>
          <w:p w14:paraId="11848012" w14:textId="3348FA4F" w:rsidR="00A774AE" w:rsidRPr="00B37DBF" w:rsidRDefault="00A774AE">
            <w:pPr>
              <w:rPr>
                <w:rFonts w:ascii="Calibri" w:hAnsi="Calibri" w:cs="Calibri"/>
                <w:b/>
                <w:bCs/>
                <w:sz w:val="20"/>
                <w:szCs w:val="20"/>
                <w:lang w:val="en-US"/>
              </w:rPr>
            </w:pPr>
            <w:r w:rsidRPr="00B37DBF">
              <w:rPr>
                <w:rFonts w:ascii="Calibri" w:hAnsi="Calibri" w:cs="Calibri"/>
                <w:b/>
                <w:bCs/>
                <w:sz w:val="20"/>
                <w:szCs w:val="20"/>
                <w:lang w:val="en-US"/>
              </w:rPr>
              <w:t>3(iv</w:t>
            </w:r>
            <w:r w:rsidR="005B3812" w:rsidRPr="00B37DBF">
              <w:rPr>
                <w:rFonts w:ascii="Calibri" w:hAnsi="Calibri" w:cs="Calibri"/>
                <w:b/>
                <w:bCs/>
                <w:sz w:val="20"/>
                <w:szCs w:val="20"/>
                <w:lang w:val="en-US"/>
              </w:rPr>
              <w:t>)</w:t>
            </w:r>
          </w:p>
        </w:tc>
        <w:tc>
          <w:tcPr>
            <w:tcW w:w="8505" w:type="dxa"/>
          </w:tcPr>
          <w:p w14:paraId="2331F155" w14:textId="38C2ED80" w:rsidR="00A774AE" w:rsidRPr="00B37DBF" w:rsidRDefault="00A774AE" w:rsidP="00FF09C7">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-What are TU Dublin's defined 'normal working hours' for the purposes of applying the pricing rates?</w:t>
            </w:r>
          </w:p>
        </w:tc>
        <w:tc>
          <w:tcPr>
            <w:tcW w:w="5895" w:type="dxa"/>
          </w:tcPr>
          <w:p w14:paraId="4E040599" w14:textId="724C2D7D" w:rsidR="00A774AE" w:rsidRPr="00B37DBF" w:rsidRDefault="00B4010E">
            <w:pPr>
              <w:rPr>
                <w:rFonts w:ascii="Calibri" w:hAnsi="Calibri" w:cs="Calibri"/>
                <w:b/>
                <w:bCs/>
                <w:sz w:val="20"/>
                <w:szCs w:val="20"/>
                <w:lang w:val="en-US"/>
              </w:rPr>
            </w:pPr>
            <w:r w:rsidRPr="00B37DBF">
              <w:rPr>
                <w:rFonts w:ascii="Calibri" w:hAnsi="Calibri" w:cs="Calibri"/>
                <w:b/>
                <w:bCs/>
                <w:sz w:val="20"/>
                <w:szCs w:val="20"/>
                <w:lang w:val="en-US"/>
              </w:rPr>
              <w:t xml:space="preserve">Defined normal working hours are 8am-5pm </w:t>
            </w:r>
            <w:r w:rsidR="00CC5884" w:rsidRPr="00B37DBF">
              <w:rPr>
                <w:rFonts w:ascii="Calibri" w:hAnsi="Calibri" w:cs="Calibri"/>
                <w:b/>
                <w:bCs/>
                <w:sz w:val="20"/>
                <w:szCs w:val="20"/>
                <w:lang w:val="en-US"/>
              </w:rPr>
              <w:t>Monday to Friday</w:t>
            </w:r>
            <w:r w:rsidRPr="00B37DBF">
              <w:rPr>
                <w:rFonts w:ascii="Calibri" w:hAnsi="Calibri" w:cs="Calibri"/>
                <w:b/>
                <w:bCs/>
                <w:sz w:val="20"/>
                <w:szCs w:val="20"/>
                <w:lang w:val="en-US"/>
              </w:rPr>
              <w:t>- Refer to Pricing Schedule.</w:t>
            </w:r>
          </w:p>
        </w:tc>
      </w:tr>
      <w:tr w:rsidR="00FF09C7" w:rsidRPr="00B37DBF" w14:paraId="0F943E28" w14:textId="77777777" w:rsidTr="1F27295C">
        <w:tc>
          <w:tcPr>
            <w:tcW w:w="988" w:type="dxa"/>
          </w:tcPr>
          <w:p w14:paraId="6CF58E80" w14:textId="516AF33D" w:rsidR="00FF09C7" w:rsidRPr="00B37DBF" w:rsidRDefault="00FF09C7">
            <w:pPr>
              <w:rPr>
                <w:rFonts w:ascii="Calibri" w:hAnsi="Calibri" w:cs="Calibri"/>
                <w:b/>
                <w:bCs/>
                <w:sz w:val="20"/>
                <w:szCs w:val="20"/>
                <w:lang w:val="en-US"/>
              </w:rPr>
            </w:pPr>
            <w:r w:rsidRPr="00B37DBF">
              <w:rPr>
                <w:rFonts w:ascii="Calibri" w:hAnsi="Calibri" w:cs="Calibri"/>
                <w:b/>
                <w:bCs/>
                <w:sz w:val="20"/>
                <w:szCs w:val="20"/>
                <w:lang w:val="en-US"/>
              </w:rPr>
              <w:t>4</w:t>
            </w:r>
          </w:p>
        </w:tc>
        <w:tc>
          <w:tcPr>
            <w:tcW w:w="8505" w:type="dxa"/>
          </w:tcPr>
          <w:p w14:paraId="2368BDE3" w14:textId="0A96F919" w:rsidR="00FF09C7" w:rsidRPr="00B37DBF" w:rsidRDefault="00FF09C7" w:rsidP="0095675E">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Framework Call-Off Arrangements</w:t>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Section 2 describes the framework as covering works "across TU Dublin's campuses" and Section 3.3 states a maximum framework value of €215,000 over 4 years. Please clarify:</w:t>
            </w:r>
          </w:p>
        </w:tc>
        <w:tc>
          <w:tcPr>
            <w:tcW w:w="5895" w:type="dxa"/>
          </w:tcPr>
          <w:p w14:paraId="04496AD6" w14:textId="77777777" w:rsidR="00FF09C7" w:rsidRPr="00B37DBF" w:rsidRDefault="00FF09C7">
            <w:pPr>
              <w:rPr>
                <w:rFonts w:ascii="Calibri" w:hAnsi="Calibri" w:cs="Calibri"/>
                <w:b/>
                <w:bCs/>
                <w:sz w:val="20"/>
                <w:szCs w:val="20"/>
                <w:lang w:val="en-US"/>
              </w:rPr>
            </w:pPr>
          </w:p>
        </w:tc>
      </w:tr>
      <w:tr w:rsidR="00B4010E" w:rsidRPr="00B37DBF" w14:paraId="3AD4526C" w14:textId="77777777" w:rsidTr="1F27295C">
        <w:tc>
          <w:tcPr>
            <w:tcW w:w="988" w:type="dxa"/>
          </w:tcPr>
          <w:p w14:paraId="631A7A61" w14:textId="35A4EEBB" w:rsidR="00B4010E" w:rsidRPr="00B37DBF" w:rsidRDefault="00DB74CE">
            <w:pPr>
              <w:rPr>
                <w:rFonts w:ascii="Calibri" w:hAnsi="Calibri" w:cs="Calibri"/>
                <w:b/>
                <w:bCs/>
                <w:sz w:val="20"/>
                <w:szCs w:val="20"/>
                <w:lang w:val="en-US"/>
              </w:rPr>
            </w:pPr>
            <w:r w:rsidRPr="00B37DBF">
              <w:rPr>
                <w:rFonts w:ascii="Calibri" w:hAnsi="Calibri" w:cs="Calibri"/>
                <w:b/>
                <w:bCs/>
                <w:sz w:val="20"/>
                <w:szCs w:val="20"/>
                <w:lang w:val="en-US"/>
              </w:rPr>
              <w:t>4(i)</w:t>
            </w:r>
          </w:p>
        </w:tc>
        <w:tc>
          <w:tcPr>
            <w:tcW w:w="8505" w:type="dxa"/>
          </w:tcPr>
          <w:p w14:paraId="09D5D407" w14:textId="2157EB7C" w:rsidR="00B4010E" w:rsidRPr="00B37DBF" w:rsidRDefault="00DB74CE" w:rsidP="0095675E">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-Is the Linenhall Building project the only defined work requirement at tender stage?</w:t>
            </w:r>
          </w:p>
        </w:tc>
        <w:tc>
          <w:tcPr>
            <w:tcW w:w="5895" w:type="dxa"/>
          </w:tcPr>
          <w:p w14:paraId="6B33BC86" w14:textId="712A7D81" w:rsidR="00B4010E" w:rsidRPr="00B37DBF" w:rsidRDefault="00886D4D">
            <w:pPr>
              <w:rPr>
                <w:rFonts w:ascii="Calibri" w:hAnsi="Calibri" w:cs="Calibri"/>
                <w:b/>
                <w:bCs/>
                <w:sz w:val="20"/>
                <w:szCs w:val="20"/>
                <w:lang w:val="en-US"/>
              </w:rPr>
            </w:pPr>
            <w:r w:rsidRPr="00B37DBF">
              <w:rPr>
                <w:rFonts w:ascii="Calibri" w:hAnsi="Calibri" w:cs="Calibri"/>
                <w:b/>
                <w:bCs/>
                <w:sz w:val="20"/>
                <w:szCs w:val="20"/>
                <w:lang w:val="en-US"/>
              </w:rPr>
              <w:t>Yes, the Linenhall project is the proposed initial project for the framework.</w:t>
            </w:r>
          </w:p>
        </w:tc>
      </w:tr>
      <w:tr w:rsidR="00DB74CE" w:rsidRPr="00B37DBF" w14:paraId="0A649AAF" w14:textId="77777777" w:rsidTr="1F27295C">
        <w:tc>
          <w:tcPr>
            <w:tcW w:w="988" w:type="dxa"/>
          </w:tcPr>
          <w:p w14:paraId="3AE35DCA" w14:textId="339758F8" w:rsidR="00DB74CE" w:rsidRPr="00B37DBF" w:rsidRDefault="00DB74CE">
            <w:pPr>
              <w:rPr>
                <w:rFonts w:ascii="Calibri" w:hAnsi="Calibri" w:cs="Calibri"/>
                <w:b/>
                <w:bCs/>
                <w:sz w:val="20"/>
                <w:szCs w:val="20"/>
                <w:lang w:val="en-US"/>
              </w:rPr>
            </w:pPr>
            <w:r w:rsidRPr="00B37DBF">
              <w:rPr>
                <w:rFonts w:ascii="Calibri" w:hAnsi="Calibri" w:cs="Calibri"/>
                <w:b/>
                <w:bCs/>
                <w:sz w:val="20"/>
                <w:szCs w:val="20"/>
                <w:lang w:val="en-US"/>
              </w:rPr>
              <w:t>4(ii)</w:t>
            </w:r>
          </w:p>
        </w:tc>
        <w:tc>
          <w:tcPr>
            <w:tcW w:w="8505" w:type="dxa"/>
          </w:tcPr>
          <w:p w14:paraId="3F91EF0A" w14:textId="3A5671C8" w:rsidR="00DB74CE" w:rsidRPr="00B37DBF" w:rsidRDefault="00DB74CE" w:rsidP="0095675E">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-For future call-off works across other TU Dublin buildings, will these be priced via:</w:t>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-Fixed price quotations based on specific project briefs, OR</w:t>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-Time-based charges using the hourly rates provided in the pricing document?</w:t>
            </w:r>
          </w:p>
        </w:tc>
        <w:tc>
          <w:tcPr>
            <w:tcW w:w="5895" w:type="dxa"/>
          </w:tcPr>
          <w:p w14:paraId="68992C79" w14:textId="77777777" w:rsidR="00947FE2" w:rsidRPr="00B37DBF" w:rsidRDefault="00947FE2" w:rsidP="00947FE2">
            <w:pPr>
              <w:rPr>
                <w:rFonts w:ascii="Calibri" w:hAnsi="Calibri" w:cs="Calibri"/>
                <w:b/>
                <w:bCs/>
                <w:sz w:val="20"/>
                <w:szCs w:val="20"/>
                <w:lang w:val="en-US"/>
              </w:rPr>
            </w:pPr>
            <w:r w:rsidRPr="00B37DBF">
              <w:rPr>
                <w:rFonts w:ascii="Calibri" w:hAnsi="Calibri" w:cs="Calibri"/>
                <w:b/>
                <w:bCs/>
                <w:sz w:val="20"/>
                <w:szCs w:val="20"/>
                <w:lang w:val="en-US"/>
              </w:rPr>
              <w:t>Refer to Appendix 1, Section 5, Draw-down of services.</w:t>
            </w:r>
          </w:p>
          <w:p w14:paraId="5C8C389C" w14:textId="77777777" w:rsidR="00DB74CE" w:rsidRPr="00B37DBF" w:rsidRDefault="00DB74CE">
            <w:pPr>
              <w:rPr>
                <w:rFonts w:ascii="Calibri" w:hAnsi="Calibri" w:cs="Calibri"/>
                <w:b/>
                <w:bCs/>
                <w:sz w:val="20"/>
                <w:szCs w:val="20"/>
                <w:lang w:val="en-US"/>
              </w:rPr>
            </w:pPr>
          </w:p>
        </w:tc>
      </w:tr>
      <w:tr w:rsidR="00DB74CE" w:rsidRPr="00B37DBF" w14:paraId="6F933FC5" w14:textId="77777777" w:rsidTr="1F27295C">
        <w:tc>
          <w:tcPr>
            <w:tcW w:w="988" w:type="dxa"/>
          </w:tcPr>
          <w:p w14:paraId="3FBE53DE" w14:textId="7D83E413" w:rsidR="00DB74CE" w:rsidRPr="00B37DBF" w:rsidRDefault="00DB74CE">
            <w:pPr>
              <w:rPr>
                <w:rFonts w:ascii="Calibri" w:hAnsi="Calibri" w:cs="Calibri"/>
                <w:b/>
                <w:bCs/>
                <w:sz w:val="20"/>
                <w:szCs w:val="20"/>
                <w:lang w:val="en-US"/>
              </w:rPr>
            </w:pPr>
            <w:r w:rsidRPr="00B37DBF">
              <w:rPr>
                <w:rFonts w:ascii="Calibri" w:hAnsi="Calibri" w:cs="Calibri"/>
                <w:b/>
                <w:bCs/>
                <w:sz w:val="20"/>
                <w:szCs w:val="20"/>
                <w:lang w:val="en-US"/>
              </w:rPr>
              <w:t>4(iii)</w:t>
            </w:r>
          </w:p>
        </w:tc>
        <w:tc>
          <w:tcPr>
            <w:tcW w:w="8505" w:type="dxa"/>
          </w:tcPr>
          <w:p w14:paraId="03A44917" w14:textId="7752B0D2" w:rsidR="00DB74CE" w:rsidRPr="00B37DBF" w:rsidRDefault="00DB74CE" w:rsidP="0095675E">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-Can you indicate the anticipated volume/frequency of call-off works to assist with resource planning?</w:t>
            </w:r>
          </w:p>
        </w:tc>
        <w:tc>
          <w:tcPr>
            <w:tcW w:w="5895" w:type="dxa"/>
          </w:tcPr>
          <w:p w14:paraId="509497E0" w14:textId="018AA8AD" w:rsidR="00DB74CE" w:rsidRPr="00B37DBF" w:rsidRDefault="0052684E">
            <w:pPr>
              <w:rPr>
                <w:rFonts w:ascii="Calibri" w:hAnsi="Calibri" w:cs="Calibri"/>
                <w:b/>
                <w:bCs/>
                <w:sz w:val="20"/>
                <w:szCs w:val="20"/>
                <w:lang w:val="en-US"/>
              </w:rPr>
            </w:pPr>
            <w:r w:rsidRPr="00B37DBF">
              <w:rPr>
                <w:rFonts w:ascii="Calibri" w:hAnsi="Calibri" w:cs="Calibri"/>
                <w:b/>
                <w:bCs/>
                <w:sz w:val="20"/>
                <w:szCs w:val="20"/>
                <w:lang w:val="en-US"/>
              </w:rPr>
              <w:t>Refer to notional quantity within Pricing Schedule</w:t>
            </w:r>
          </w:p>
        </w:tc>
      </w:tr>
      <w:tr w:rsidR="00767BB4" w:rsidRPr="00B37DBF" w14:paraId="717D0F66" w14:textId="77777777" w:rsidTr="1F27295C">
        <w:tc>
          <w:tcPr>
            <w:tcW w:w="988" w:type="dxa"/>
          </w:tcPr>
          <w:p w14:paraId="39FDDCFC" w14:textId="1F5540B1" w:rsidR="00767BB4" w:rsidRPr="00B37DBF" w:rsidRDefault="00767BB4" w:rsidP="00767BB4">
            <w:pPr>
              <w:rPr>
                <w:rFonts w:ascii="Calibri" w:hAnsi="Calibri" w:cs="Calibri"/>
                <w:b/>
                <w:bCs/>
                <w:sz w:val="20"/>
                <w:szCs w:val="20"/>
                <w:lang w:val="en-US"/>
              </w:rPr>
            </w:pPr>
            <w:r w:rsidRPr="00B37DBF">
              <w:rPr>
                <w:rFonts w:ascii="Calibri" w:hAnsi="Calibri" w:cs="Calibri"/>
                <w:b/>
                <w:bCs/>
                <w:sz w:val="20"/>
                <w:szCs w:val="20"/>
                <w:lang w:val="en-US"/>
              </w:rPr>
              <w:t>5(i)</w:t>
            </w:r>
          </w:p>
        </w:tc>
        <w:tc>
          <w:tcPr>
            <w:tcW w:w="8505" w:type="dxa"/>
          </w:tcPr>
          <w:p w14:paraId="5B138A35" w14:textId="0B430AF0" w:rsidR="00767BB4" w:rsidRPr="00B37DBF" w:rsidRDefault="00767BB4" w:rsidP="00767BB4">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Emergency Response</w:t>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Section 4.1 requires emergency response support for suspected asbestos disturbance. To enable appropriate resourcing, please can you provide:</w:t>
            </w:r>
            <w:r w:rsidRPr="00B37DBF">
              <w:rPr>
                <w:rFonts w:ascii="Calibri" w:hAnsi="Calibri" w:cs="Calibri"/>
                <w:b/>
                <w:bCs/>
                <w:color w:val="00241A"/>
                <w:sz w:val="20"/>
                <w:szCs w:val="20"/>
              </w:rPr>
              <w:br/>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 xml:space="preserve">-The average number of </w:t>
            </w:r>
            <w:proofErr w:type="gramStart"/>
            <w:r w:rsidRPr="00B37DBF">
              <w:rPr>
                <w:rFonts w:ascii="Calibri" w:hAnsi="Calibri" w:cs="Calibri"/>
                <w:b/>
                <w:bCs/>
                <w:color w:val="00241A"/>
                <w:sz w:val="20"/>
                <w:szCs w:val="20"/>
                <w:shd w:val="clear" w:color="auto" w:fill="FFFFFF"/>
              </w:rPr>
              <w:t>emergency</w:t>
            </w:r>
            <w:proofErr w:type="gramEnd"/>
            <w:r w:rsidRPr="00B37DBF">
              <w:rPr>
                <w:rFonts w:ascii="Calibri" w:hAnsi="Calibri" w:cs="Calibri"/>
                <w:b/>
                <w:bCs/>
                <w:color w:val="00241A"/>
                <w:sz w:val="20"/>
                <w:szCs w:val="20"/>
                <w:shd w:val="clear" w:color="auto" w:fill="FFFFFF"/>
              </w:rPr>
              <w:t xml:space="preserve"> </w:t>
            </w:r>
            <w:proofErr w:type="gramStart"/>
            <w:r w:rsidRPr="00B37DBF">
              <w:rPr>
                <w:rFonts w:ascii="Calibri" w:hAnsi="Calibri" w:cs="Calibri"/>
                <w:b/>
                <w:bCs/>
                <w:color w:val="00241A"/>
                <w:sz w:val="20"/>
                <w:szCs w:val="20"/>
                <w:shd w:val="clear" w:color="auto" w:fill="FFFFFF"/>
              </w:rPr>
              <w:t>call-outs</w:t>
            </w:r>
            <w:proofErr w:type="gramEnd"/>
            <w:r w:rsidRPr="00B37DBF">
              <w:rPr>
                <w:rFonts w:ascii="Calibri" w:hAnsi="Calibri" w:cs="Calibri"/>
                <w:b/>
                <w:bCs/>
                <w:color w:val="00241A"/>
                <w:sz w:val="20"/>
                <w:szCs w:val="20"/>
                <w:shd w:val="clear" w:color="auto" w:fill="FFFFFF"/>
              </w:rPr>
              <w:t xml:space="preserve"> per year across the TU Dublin estate?</w:t>
            </w:r>
          </w:p>
        </w:tc>
        <w:tc>
          <w:tcPr>
            <w:tcW w:w="5895" w:type="dxa"/>
          </w:tcPr>
          <w:p w14:paraId="17AA0B38" w14:textId="3CF85750" w:rsidR="00767BB4" w:rsidRPr="00B37DBF" w:rsidRDefault="00767BB4" w:rsidP="00767BB4">
            <w:pPr>
              <w:rPr>
                <w:rFonts w:ascii="Calibri" w:hAnsi="Calibri" w:cs="Calibri"/>
                <w:b/>
                <w:bCs/>
                <w:sz w:val="20"/>
                <w:szCs w:val="20"/>
                <w:lang w:val="en-US"/>
              </w:rPr>
            </w:pPr>
            <w:r w:rsidRPr="00B37DBF">
              <w:rPr>
                <w:rFonts w:ascii="Calibri" w:hAnsi="Calibri" w:cs="Calibri"/>
                <w:b/>
                <w:bCs/>
                <w:sz w:val="20"/>
                <w:szCs w:val="20"/>
                <w:lang w:val="en-US"/>
              </w:rPr>
              <w:t>Refer to notional quantity within Pricing Schedule</w:t>
            </w:r>
          </w:p>
        </w:tc>
      </w:tr>
      <w:tr w:rsidR="00767BB4" w:rsidRPr="00B37DBF" w14:paraId="66468CBA" w14:textId="77777777" w:rsidTr="1F27295C">
        <w:tc>
          <w:tcPr>
            <w:tcW w:w="988" w:type="dxa"/>
          </w:tcPr>
          <w:p w14:paraId="0824504C" w14:textId="7625FBB1" w:rsidR="00767BB4" w:rsidRPr="00B37DBF" w:rsidRDefault="00767BB4" w:rsidP="00767BB4">
            <w:pPr>
              <w:rPr>
                <w:rFonts w:ascii="Calibri" w:hAnsi="Calibri" w:cs="Calibri"/>
                <w:b/>
                <w:bCs/>
                <w:sz w:val="20"/>
                <w:szCs w:val="20"/>
                <w:lang w:val="en-US"/>
              </w:rPr>
            </w:pPr>
            <w:r w:rsidRPr="00B37DBF">
              <w:rPr>
                <w:rFonts w:ascii="Calibri" w:hAnsi="Calibri" w:cs="Calibri"/>
                <w:b/>
                <w:bCs/>
                <w:sz w:val="20"/>
                <w:szCs w:val="20"/>
                <w:lang w:val="en-US"/>
              </w:rPr>
              <w:t>5(ii)</w:t>
            </w:r>
          </w:p>
        </w:tc>
        <w:tc>
          <w:tcPr>
            <w:tcW w:w="8505" w:type="dxa"/>
          </w:tcPr>
          <w:p w14:paraId="742916F9" w14:textId="639C34B9" w:rsidR="00767BB4" w:rsidRPr="00B37DBF" w:rsidRDefault="00767BB4" w:rsidP="00767BB4">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-Typical response time expectations?</w:t>
            </w:r>
          </w:p>
        </w:tc>
        <w:tc>
          <w:tcPr>
            <w:tcW w:w="5895" w:type="dxa"/>
          </w:tcPr>
          <w:p w14:paraId="67634478" w14:textId="3C3C9085" w:rsidR="00767BB4" w:rsidRPr="00B37DBF" w:rsidRDefault="002D68B2" w:rsidP="00767BB4">
            <w:pPr>
              <w:tabs>
                <w:tab w:val="left" w:pos="1005"/>
              </w:tabs>
              <w:rPr>
                <w:rFonts w:ascii="Calibri" w:hAnsi="Calibri" w:cs="Calibri"/>
                <w:b/>
                <w:bCs/>
                <w:sz w:val="20"/>
                <w:szCs w:val="20"/>
                <w:lang w:val="en-US"/>
              </w:rPr>
            </w:pPr>
            <w:r w:rsidRPr="00B37DBF">
              <w:rPr>
                <w:rFonts w:ascii="Calibri" w:hAnsi="Calibri" w:cs="Calibri"/>
                <w:b/>
                <w:bCs/>
                <w:sz w:val="20"/>
                <w:szCs w:val="20"/>
                <w:lang w:val="en-US"/>
              </w:rPr>
              <w:t>Refer to pricing schedule – within a 24hour response</w:t>
            </w:r>
            <w:r w:rsidR="00767BB4" w:rsidRPr="00B37DBF">
              <w:rPr>
                <w:rFonts w:ascii="Calibri" w:hAnsi="Calibri" w:cs="Calibri"/>
                <w:b/>
                <w:bCs/>
                <w:sz w:val="20"/>
                <w:szCs w:val="20"/>
                <w:lang w:val="en-US"/>
              </w:rPr>
              <w:tab/>
            </w:r>
          </w:p>
        </w:tc>
      </w:tr>
      <w:tr w:rsidR="00767BB4" w:rsidRPr="00B37DBF" w14:paraId="4FB274A7" w14:textId="77777777" w:rsidTr="1F27295C">
        <w:tc>
          <w:tcPr>
            <w:tcW w:w="988" w:type="dxa"/>
          </w:tcPr>
          <w:p w14:paraId="16D494E7" w14:textId="333AC75F" w:rsidR="00767BB4" w:rsidRPr="00B37DBF" w:rsidRDefault="00767BB4" w:rsidP="00767BB4">
            <w:pPr>
              <w:rPr>
                <w:rFonts w:ascii="Calibri" w:hAnsi="Calibri" w:cs="Calibri"/>
                <w:b/>
                <w:bCs/>
                <w:sz w:val="20"/>
                <w:szCs w:val="20"/>
                <w:lang w:val="en-US"/>
              </w:rPr>
            </w:pPr>
            <w:r w:rsidRPr="00B37DBF">
              <w:rPr>
                <w:rFonts w:ascii="Calibri" w:hAnsi="Calibri" w:cs="Calibri"/>
                <w:b/>
                <w:bCs/>
                <w:sz w:val="20"/>
                <w:szCs w:val="20"/>
                <w:lang w:val="en-US"/>
              </w:rPr>
              <w:t>6</w:t>
            </w:r>
          </w:p>
        </w:tc>
        <w:tc>
          <w:tcPr>
            <w:tcW w:w="8505" w:type="dxa"/>
          </w:tcPr>
          <w:p w14:paraId="74612B0C" w14:textId="6B53B234" w:rsidR="00767BB4" w:rsidRPr="00B37DBF" w:rsidRDefault="00767BB4" w:rsidP="00767BB4">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We note that Section 2.3.3 of the RFT states that tenderers may not amend the Framework Agreement or Services Contract. We are seeking clarification on the insurance requirements, TUPE and the interpretation and application of Schedule A, Clauses 5F and 5G, to ensure we fully understand TU Dublin's requirements and can price our tender appropriately.</w:t>
            </w:r>
            <w:r w:rsidRPr="00B37DBF">
              <w:rPr>
                <w:rFonts w:ascii="Calibri" w:hAnsi="Calibri" w:cs="Calibri"/>
                <w:b/>
                <w:bCs/>
                <w:color w:val="00241A"/>
                <w:sz w:val="20"/>
                <w:szCs w:val="20"/>
              </w:rPr>
              <w:br/>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Clarifications required:</w:t>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Insurance - we request that the Employers' Liability be changed to match our maximum £10,000,000 cover.</w:t>
            </w:r>
          </w:p>
        </w:tc>
        <w:tc>
          <w:tcPr>
            <w:tcW w:w="5895" w:type="dxa"/>
          </w:tcPr>
          <w:p w14:paraId="080E3628" w14:textId="139E8A89" w:rsidR="00CC5884" w:rsidRPr="00B37DBF" w:rsidRDefault="002B3018" w:rsidP="4BBA4061">
            <w:pPr>
              <w:rPr>
                <w:rFonts w:ascii="Calibri" w:hAnsi="Calibri" w:cs="Calibri"/>
                <w:b/>
                <w:bCs/>
                <w:sz w:val="20"/>
                <w:szCs w:val="20"/>
              </w:rPr>
            </w:pPr>
            <w:r w:rsidRPr="00B37DBF">
              <w:rPr>
                <w:rFonts w:ascii="Calibri" w:hAnsi="Calibri" w:cs="Calibri"/>
                <w:b/>
                <w:bCs/>
                <w:sz w:val="20"/>
                <w:szCs w:val="20"/>
              </w:rPr>
              <w:t xml:space="preserve">The cover of £10,000,000 </w:t>
            </w:r>
            <w:r w:rsidR="00B37DBF" w:rsidRPr="00B37DBF">
              <w:rPr>
                <w:rFonts w:ascii="Calibri" w:hAnsi="Calibri" w:cs="Calibri"/>
                <w:b/>
                <w:bCs/>
                <w:sz w:val="20"/>
                <w:szCs w:val="20"/>
              </w:rPr>
              <w:t xml:space="preserve">or €13,000,000 </w:t>
            </w:r>
            <w:r w:rsidRPr="00B37DBF">
              <w:rPr>
                <w:rFonts w:ascii="Calibri" w:hAnsi="Calibri" w:cs="Calibri"/>
                <w:b/>
                <w:bCs/>
                <w:sz w:val="20"/>
                <w:szCs w:val="20"/>
              </w:rPr>
              <w:t xml:space="preserve">is acceptable for Employers Liability. </w:t>
            </w:r>
          </w:p>
          <w:p w14:paraId="5221F035" w14:textId="77777777" w:rsidR="00CC5884" w:rsidRPr="00B37DBF" w:rsidRDefault="00CC5884" w:rsidP="4BBA4061">
            <w:pPr>
              <w:rPr>
                <w:rFonts w:ascii="Calibri" w:hAnsi="Calibri" w:cs="Calibri"/>
                <w:b/>
                <w:bCs/>
                <w:sz w:val="20"/>
                <w:szCs w:val="20"/>
              </w:rPr>
            </w:pPr>
          </w:p>
          <w:p w14:paraId="2569F8CD" w14:textId="77777777" w:rsidR="00CC5884" w:rsidRPr="00B37DBF" w:rsidRDefault="00CC5884" w:rsidP="4BBA4061">
            <w:pPr>
              <w:rPr>
                <w:rFonts w:ascii="Calibri" w:hAnsi="Calibri" w:cs="Calibri"/>
                <w:b/>
                <w:bCs/>
                <w:sz w:val="20"/>
                <w:szCs w:val="20"/>
              </w:rPr>
            </w:pPr>
          </w:p>
          <w:p w14:paraId="157195E9" w14:textId="77777777" w:rsidR="00CC5884" w:rsidRPr="00B37DBF" w:rsidRDefault="00CC5884" w:rsidP="4BBA4061">
            <w:pPr>
              <w:rPr>
                <w:rFonts w:ascii="Calibri" w:hAnsi="Calibri" w:cs="Calibri"/>
                <w:b/>
                <w:bCs/>
                <w:sz w:val="20"/>
                <w:szCs w:val="20"/>
              </w:rPr>
            </w:pPr>
          </w:p>
          <w:p w14:paraId="6AAA46CB" w14:textId="77777777" w:rsidR="00CC5884" w:rsidRPr="00B37DBF" w:rsidRDefault="00CC5884" w:rsidP="4BBA4061">
            <w:pPr>
              <w:rPr>
                <w:rFonts w:ascii="Calibri" w:hAnsi="Calibri" w:cs="Calibri"/>
                <w:b/>
                <w:bCs/>
                <w:sz w:val="20"/>
                <w:szCs w:val="20"/>
              </w:rPr>
            </w:pPr>
          </w:p>
          <w:p w14:paraId="15FC8D38" w14:textId="77777777" w:rsidR="00CC5884" w:rsidRPr="00B37DBF" w:rsidRDefault="00CC5884" w:rsidP="4BBA4061">
            <w:pPr>
              <w:rPr>
                <w:rFonts w:ascii="Calibri" w:hAnsi="Calibri" w:cs="Calibri"/>
                <w:b/>
                <w:bCs/>
                <w:sz w:val="20"/>
                <w:szCs w:val="20"/>
              </w:rPr>
            </w:pPr>
          </w:p>
          <w:p w14:paraId="4EBD4FFD" w14:textId="44356E67" w:rsidR="00767BB4" w:rsidRPr="00B37DBF" w:rsidRDefault="00767BB4" w:rsidP="00767BB4">
            <w:pPr>
              <w:rPr>
                <w:rFonts w:ascii="Calibri" w:hAnsi="Calibri" w:cs="Calibri"/>
                <w:b/>
                <w:bCs/>
                <w:sz w:val="20"/>
                <w:szCs w:val="20"/>
              </w:rPr>
            </w:pPr>
          </w:p>
        </w:tc>
      </w:tr>
      <w:tr w:rsidR="00767BB4" w:rsidRPr="00B37DBF" w14:paraId="773611B2" w14:textId="77777777" w:rsidTr="1F27295C">
        <w:tc>
          <w:tcPr>
            <w:tcW w:w="988" w:type="dxa"/>
          </w:tcPr>
          <w:p w14:paraId="3CE4A70F" w14:textId="2F5E1AF9" w:rsidR="00767BB4" w:rsidRPr="00B37DBF" w:rsidRDefault="00767BB4" w:rsidP="00767BB4">
            <w:pPr>
              <w:rPr>
                <w:rFonts w:ascii="Calibri" w:hAnsi="Calibri" w:cs="Calibri"/>
                <w:b/>
                <w:bCs/>
                <w:sz w:val="20"/>
                <w:szCs w:val="20"/>
                <w:lang w:val="en-US"/>
              </w:rPr>
            </w:pPr>
          </w:p>
        </w:tc>
        <w:tc>
          <w:tcPr>
            <w:tcW w:w="8505" w:type="dxa"/>
          </w:tcPr>
          <w:p w14:paraId="2AE9AF3C" w14:textId="1F4F5F21" w:rsidR="00767BB4" w:rsidRPr="00B37DBF" w:rsidRDefault="00767BB4" w:rsidP="00767BB4">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Professional Indemnity Insurance ''€</w:t>
            </w:r>
            <w:proofErr w:type="gramStart"/>
            <w:r w:rsidRPr="00B37DBF">
              <w:rPr>
                <w:rFonts w:ascii="Calibri" w:hAnsi="Calibri" w:cs="Calibri"/>
                <w:b/>
                <w:bCs/>
                <w:color w:val="00241A"/>
                <w:sz w:val="20"/>
                <w:szCs w:val="20"/>
                <w:shd w:val="clear" w:color="auto" w:fill="FFFFFF"/>
              </w:rPr>
              <w:t>1</w:t>
            </w:r>
            <w:proofErr w:type="gramEnd"/>
            <w:r w:rsidRPr="00B37DBF">
              <w:rPr>
                <w:rFonts w:ascii="Calibri" w:hAnsi="Calibri" w:cs="Calibri"/>
                <w:b/>
                <w:bCs/>
                <w:color w:val="00241A"/>
                <w:sz w:val="20"/>
                <w:szCs w:val="20"/>
                <w:shd w:val="clear" w:color="auto" w:fill="FFFFFF"/>
              </w:rPr>
              <w:t xml:space="preserve"> million '' - please clarify if this is on an each and every or aggregate basis?</w:t>
            </w:r>
          </w:p>
        </w:tc>
        <w:tc>
          <w:tcPr>
            <w:tcW w:w="5895" w:type="dxa"/>
          </w:tcPr>
          <w:p w14:paraId="61F460E5" w14:textId="6C9F1DA1" w:rsidR="00767BB4" w:rsidRPr="00B37DBF" w:rsidRDefault="00B37DBF" w:rsidP="00767BB4">
            <w:pPr>
              <w:rPr>
                <w:rFonts w:ascii="Calibri" w:hAnsi="Calibri" w:cs="Calibri"/>
                <w:b/>
                <w:bCs/>
                <w:sz w:val="20"/>
                <w:szCs w:val="20"/>
                <w:lang w:val="en-US"/>
              </w:rPr>
            </w:pPr>
            <w:r w:rsidRPr="00B37DBF">
              <w:rPr>
                <w:rFonts w:ascii="Calibri" w:hAnsi="Calibri" w:cs="Calibri"/>
                <w:b/>
                <w:bCs/>
                <w:sz w:val="20"/>
                <w:szCs w:val="20"/>
                <w:lang w:val="en-US"/>
              </w:rPr>
              <w:t>This</w:t>
            </w:r>
            <w:r w:rsidR="00767BB4" w:rsidRPr="00B37DBF">
              <w:rPr>
                <w:rFonts w:ascii="Calibri" w:hAnsi="Calibri" w:cs="Calibri"/>
                <w:b/>
                <w:bCs/>
                <w:sz w:val="20"/>
                <w:szCs w:val="20"/>
                <w:lang w:val="en-US"/>
              </w:rPr>
              <w:t xml:space="preserve"> is on </w:t>
            </w:r>
            <w:proofErr w:type="gramStart"/>
            <w:r w:rsidR="00767BB4" w:rsidRPr="00B37DBF">
              <w:rPr>
                <w:rFonts w:ascii="Calibri" w:hAnsi="Calibri" w:cs="Calibri"/>
                <w:b/>
                <w:bCs/>
                <w:sz w:val="20"/>
                <w:szCs w:val="20"/>
                <w:lang w:val="en-US"/>
              </w:rPr>
              <w:t>each and every</w:t>
            </w:r>
            <w:proofErr w:type="gramEnd"/>
            <w:r w:rsidR="00767BB4" w:rsidRPr="00B37DBF">
              <w:rPr>
                <w:rFonts w:ascii="Calibri" w:hAnsi="Calibri" w:cs="Calibri"/>
                <w:b/>
                <w:bCs/>
                <w:sz w:val="20"/>
                <w:szCs w:val="20"/>
                <w:lang w:val="en-US"/>
              </w:rPr>
              <w:t xml:space="preserve"> claim </w:t>
            </w:r>
            <w:r w:rsidR="004A7F0D" w:rsidRPr="00B37DBF">
              <w:rPr>
                <w:rFonts w:ascii="Calibri" w:hAnsi="Calibri" w:cs="Calibri"/>
                <w:b/>
                <w:bCs/>
                <w:sz w:val="20"/>
                <w:szCs w:val="20"/>
                <w:lang w:val="en-US"/>
              </w:rPr>
              <w:t>cover – please note that this will be reduced to €500k</w:t>
            </w:r>
            <w:r w:rsidR="00EA3CDB" w:rsidRPr="00B37DBF">
              <w:rPr>
                <w:rFonts w:ascii="Calibri" w:hAnsi="Calibri" w:cs="Calibri"/>
                <w:b/>
                <w:bCs/>
                <w:sz w:val="20"/>
                <w:szCs w:val="20"/>
                <w:lang w:val="en-US"/>
              </w:rPr>
              <w:t xml:space="preserve"> on </w:t>
            </w:r>
            <w:proofErr w:type="gramStart"/>
            <w:r w:rsidR="00EA3CDB" w:rsidRPr="00B37DBF">
              <w:rPr>
                <w:rFonts w:ascii="Calibri" w:hAnsi="Calibri" w:cs="Calibri"/>
                <w:b/>
                <w:bCs/>
                <w:sz w:val="20"/>
                <w:szCs w:val="20"/>
                <w:lang w:val="en-US"/>
              </w:rPr>
              <w:t>each and every</w:t>
            </w:r>
            <w:proofErr w:type="gramEnd"/>
            <w:r w:rsidR="00EA3CDB" w:rsidRPr="00B37DBF">
              <w:rPr>
                <w:rFonts w:ascii="Calibri" w:hAnsi="Calibri" w:cs="Calibri"/>
                <w:b/>
                <w:bCs/>
                <w:sz w:val="20"/>
                <w:szCs w:val="20"/>
                <w:lang w:val="en-US"/>
              </w:rPr>
              <w:t xml:space="preserve"> claim cover.</w:t>
            </w:r>
          </w:p>
        </w:tc>
      </w:tr>
      <w:tr w:rsidR="00767BB4" w:rsidRPr="00B37DBF" w14:paraId="5ECD9946" w14:textId="77777777" w:rsidTr="1F27295C">
        <w:tc>
          <w:tcPr>
            <w:tcW w:w="988" w:type="dxa"/>
          </w:tcPr>
          <w:p w14:paraId="1317B1D6" w14:textId="7EDB5EB1" w:rsidR="00767BB4" w:rsidRPr="00B37DBF" w:rsidRDefault="00767BB4" w:rsidP="00767BB4">
            <w:pPr>
              <w:rPr>
                <w:rFonts w:ascii="Calibri" w:hAnsi="Calibri" w:cs="Calibri"/>
                <w:b/>
                <w:bCs/>
                <w:sz w:val="20"/>
                <w:szCs w:val="20"/>
                <w:lang w:val="en-US"/>
              </w:rPr>
            </w:pPr>
          </w:p>
        </w:tc>
        <w:tc>
          <w:tcPr>
            <w:tcW w:w="8505" w:type="dxa"/>
          </w:tcPr>
          <w:p w14:paraId="0F0E0855" w14:textId="5DE9A7CC" w:rsidR="00767BB4" w:rsidRPr="00B37DBF" w:rsidRDefault="00767BB4" w:rsidP="00767BB4">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1 H, please clarify if TUPE is applicable?</w:t>
            </w:r>
          </w:p>
        </w:tc>
        <w:tc>
          <w:tcPr>
            <w:tcW w:w="5895" w:type="dxa"/>
          </w:tcPr>
          <w:p w14:paraId="28625117" w14:textId="283A62E7" w:rsidR="00767BB4" w:rsidRPr="00B37DBF" w:rsidRDefault="00767BB4" w:rsidP="00767BB4">
            <w:pPr>
              <w:rPr>
                <w:rFonts w:ascii="Calibri" w:hAnsi="Calibri" w:cs="Calibri"/>
                <w:b/>
                <w:bCs/>
                <w:sz w:val="20"/>
                <w:szCs w:val="20"/>
                <w:lang w:val="en-US"/>
              </w:rPr>
            </w:pPr>
            <w:r w:rsidRPr="00B37DBF">
              <w:rPr>
                <w:rFonts w:ascii="Calibri" w:hAnsi="Calibri" w:cs="Calibri"/>
                <w:b/>
                <w:bCs/>
                <w:sz w:val="20"/>
                <w:szCs w:val="20"/>
                <w:lang w:val="en-US"/>
              </w:rPr>
              <w:t>This does not apply to this contract</w:t>
            </w:r>
          </w:p>
        </w:tc>
      </w:tr>
      <w:tr w:rsidR="00767BB4" w:rsidRPr="00B37DBF" w14:paraId="77278117" w14:textId="77777777" w:rsidTr="1F27295C">
        <w:tc>
          <w:tcPr>
            <w:tcW w:w="988" w:type="dxa"/>
          </w:tcPr>
          <w:p w14:paraId="7AEF5A6C" w14:textId="77777777" w:rsidR="00767BB4" w:rsidRPr="00B37DBF" w:rsidRDefault="00767BB4" w:rsidP="00767BB4">
            <w:pPr>
              <w:rPr>
                <w:rFonts w:ascii="Calibri" w:hAnsi="Calibri" w:cs="Calibri"/>
                <w:b/>
                <w:bCs/>
                <w:sz w:val="20"/>
                <w:szCs w:val="20"/>
                <w:lang w:val="en-US"/>
              </w:rPr>
            </w:pPr>
          </w:p>
        </w:tc>
        <w:tc>
          <w:tcPr>
            <w:tcW w:w="8505" w:type="dxa"/>
          </w:tcPr>
          <w:p w14:paraId="4B6CD2AD" w14:textId="2B98F45D" w:rsidR="00767BB4" w:rsidRPr="00B37DBF" w:rsidRDefault="00767BB4" w:rsidP="00767BB4">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5 A, please replace ''and any'' with ''legally enforceable and properly mitigated'' - please clarify if this amendment can be considered?</w:t>
            </w:r>
          </w:p>
        </w:tc>
        <w:tc>
          <w:tcPr>
            <w:tcW w:w="5895" w:type="dxa"/>
          </w:tcPr>
          <w:p w14:paraId="28DB10FD" w14:textId="142EE453" w:rsidR="00767BB4" w:rsidRPr="00B37DBF" w:rsidRDefault="00767BB4" w:rsidP="00767BB4">
            <w:pPr>
              <w:rPr>
                <w:rFonts w:ascii="Calibri" w:hAnsi="Calibri" w:cs="Calibri"/>
                <w:b/>
                <w:bCs/>
                <w:sz w:val="20"/>
                <w:szCs w:val="20"/>
                <w:lang w:val="en-US"/>
              </w:rPr>
            </w:pPr>
            <w:r w:rsidRPr="00B37DBF">
              <w:rPr>
                <w:rFonts w:ascii="Calibri" w:hAnsi="Calibri" w:cs="Calibri"/>
                <w:b/>
                <w:bCs/>
                <w:sz w:val="20"/>
                <w:szCs w:val="20"/>
              </w:rPr>
              <w:t>The contract published with the RFT is a standard Office of Government Procurement contract used throughout the Public Sector, it is unusual for any significant variations to be made to this contract</w:t>
            </w:r>
          </w:p>
        </w:tc>
      </w:tr>
      <w:tr w:rsidR="00767BB4" w:rsidRPr="00B37DBF" w14:paraId="3CEE9D36" w14:textId="77777777" w:rsidTr="1F27295C">
        <w:tc>
          <w:tcPr>
            <w:tcW w:w="988" w:type="dxa"/>
          </w:tcPr>
          <w:p w14:paraId="27EB1D76" w14:textId="77777777" w:rsidR="00767BB4" w:rsidRPr="00B37DBF" w:rsidRDefault="00767BB4" w:rsidP="00767BB4">
            <w:pPr>
              <w:rPr>
                <w:rFonts w:ascii="Calibri" w:hAnsi="Calibri" w:cs="Calibri"/>
                <w:b/>
                <w:bCs/>
                <w:sz w:val="20"/>
                <w:szCs w:val="20"/>
                <w:lang w:val="en-US"/>
              </w:rPr>
            </w:pPr>
          </w:p>
        </w:tc>
        <w:tc>
          <w:tcPr>
            <w:tcW w:w="8505" w:type="dxa"/>
          </w:tcPr>
          <w:p w14:paraId="01D5FA42" w14:textId="0110C3B3" w:rsidR="00767BB4" w:rsidRPr="00B37DBF" w:rsidRDefault="00767BB4" w:rsidP="00767BB4">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Clause 5F permits withholding of 30 percent of Charges for "dissatisfaction with performance". Please clarify:</w:t>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-What constitutes "dissatisfaction" - will this relate to KPI/Service Level breaches or be applied more broadly?</w:t>
            </w:r>
          </w:p>
        </w:tc>
        <w:tc>
          <w:tcPr>
            <w:tcW w:w="5895" w:type="dxa"/>
          </w:tcPr>
          <w:p w14:paraId="08EE66E9" w14:textId="33B30402" w:rsidR="00767BB4" w:rsidRPr="00B37DBF" w:rsidRDefault="00926DDD" w:rsidP="00767BB4">
            <w:pPr>
              <w:rPr>
                <w:rFonts w:ascii="Calibri" w:hAnsi="Calibri" w:cs="Calibri"/>
                <w:b/>
                <w:bCs/>
                <w:sz w:val="20"/>
                <w:szCs w:val="20"/>
                <w:lang w:val="en-US"/>
              </w:rPr>
            </w:pPr>
            <w:r w:rsidRPr="00B37DBF">
              <w:rPr>
                <w:rFonts w:ascii="Calibri" w:hAnsi="Calibri" w:cs="Calibri"/>
                <w:b/>
                <w:bCs/>
                <w:sz w:val="20"/>
                <w:szCs w:val="20"/>
                <w:lang w:val="en-US"/>
              </w:rPr>
              <w:t xml:space="preserve">This clause </w:t>
            </w:r>
            <w:r w:rsidR="00E6092A" w:rsidRPr="00B37DBF">
              <w:rPr>
                <w:rFonts w:ascii="Calibri" w:hAnsi="Calibri" w:cs="Calibri"/>
                <w:b/>
                <w:bCs/>
                <w:sz w:val="20"/>
                <w:szCs w:val="20"/>
                <w:lang w:val="en-US"/>
              </w:rPr>
              <w:t xml:space="preserve">relates to unsatisfactory performance </w:t>
            </w:r>
            <w:r w:rsidR="000F13EE" w:rsidRPr="00B37DBF">
              <w:rPr>
                <w:rFonts w:ascii="Calibri" w:hAnsi="Calibri" w:cs="Calibri"/>
                <w:b/>
                <w:bCs/>
                <w:sz w:val="20"/>
                <w:szCs w:val="20"/>
                <w:lang w:val="en-US"/>
              </w:rPr>
              <w:t>by the Contractor</w:t>
            </w:r>
            <w:r w:rsidR="00E6092A" w:rsidRPr="00B37DBF">
              <w:rPr>
                <w:rFonts w:ascii="Calibri" w:hAnsi="Calibri" w:cs="Calibri"/>
                <w:b/>
                <w:bCs/>
                <w:sz w:val="20"/>
                <w:szCs w:val="20"/>
                <w:lang w:val="en-US"/>
              </w:rPr>
              <w:t xml:space="preserve">– </w:t>
            </w:r>
            <w:r w:rsidR="00EA3CDB" w:rsidRPr="00B37DBF">
              <w:rPr>
                <w:rFonts w:ascii="Calibri" w:hAnsi="Calibri" w:cs="Calibri"/>
                <w:b/>
                <w:bCs/>
                <w:sz w:val="20"/>
                <w:szCs w:val="20"/>
                <w:lang w:val="en-US"/>
              </w:rPr>
              <w:t>Refer</w:t>
            </w:r>
            <w:r w:rsidR="00E6092A" w:rsidRPr="00B37DBF">
              <w:rPr>
                <w:rFonts w:ascii="Calibri" w:hAnsi="Calibri" w:cs="Calibri"/>
                <w:b/>
                <w:bCs/>
                <w:sz w:val="20"/>
                <w:szCs w:val="20"/>
                <w:lang w:val="en-US"/>
              </w:rPr>
              <w:t xml:space="preserve"> to </w:t>
            </w:r>
            <w:r w:rsidR="00EA3CDB" w:rsidRPr="00B37DBF">
              <w:rPr>
                <w:rFonts w:ascii="Calibri" w:hAnsi="Calibri" w:cs="Calibri"/>
                <w:b/>
                <w:bCs/>
                <w:sz w:val="20"/>
                <w:szCs w:val="20"/>
                <w:lang w:val="en-US"/>
              </w:rPr>
              <w:t>Appendix 1, Section 4 for conditions of service delivery.</w:t>
            </w:r>
          </w:p>
        </w:tc>
      </w:tr>
      <w:tr w:rsidR="009F2C54" w:rsidRPr="00B37DBF" w14:paraId="29D8C243" w14:textId="77777777" w:rsidTr="1F27295C">
        <w:tc>
          <w:tcPr>
            <w:tcW w:w="988" w:type="dxa"/>
          </w:tcPr>
          <w:p w14:paraId="05FB20D3" w14:textId="77777777" w:rsidR="009F2C54" w:rsidRPr="00B37DBF" w:rsidRDefault="009F2C54" w:rsidP="00767BB4">
            <w:pPr>
              <w:rPr>
                <w:rFonts w:ascii="Calibri" w:hAnsi="Calibri" w:cs="Calibri"/>
                <w:b/>
                <w:bCs/>
                <w:sz w:val="20"/>
                <w:szCs w:val="20"/>
                <w:lang w:val="en-US"/>
              </w:rPr>
            </w:pPr>
          </w:p>
        </w:tc>
        <w:tc>
          <w:tcPr>
            <w:tcW w:w="8505" w:type="dxa"/>
          </w:tcPr>
          <w:p w14:paraId="0E26FCC5" w14:textId="50C35F8A" w:rsidR="009F2C54" w:rsidRPr="00B37DBF" w:rsidRDefault="009F2C54" w:rsidP="00767BB4">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-What is the process for the remedy and release of retained amounts?</w:t>
            </w:r>
            <w:r w:rsidRPr="00B37DBF">
              <w:rPr>
                <w:rFonts w:ascii="Calibri" w:hAnsi="Calibri" w:cs="Calibri"/>
                <w:b/>
                <w:bCs/>
                <w:color w:val="00241A"/>
                <w:sz w:val="20"/>
                <w:szCs w:val="20"/>
              </w:rPr>
              <w:br/>
            </w:r>
          </w:p>
        </w:tc>
        <w:tc>
          <w:tcPr>
            <w:tcW w:w="5895" w:type="dxa"/>
          </w:tcPr>
          <w:p w14:paraId="08BBDB4D" w14:textId="4E98F647" w:rsidR="009F2C54" w:rsidRPr="00B37DBF" w:rsidRDefault="002C1FCA" w:rsidP="00767BB4">
            <w:pPr>
              <w:rPr>
                <w:rFonts w:ascii="Calibri" w:hAnsi="Calibri" w:cs="Calibri"/>
                <w:b/>
                <w:bCs/>
                <w:sz w:val="20"/>
                <w:szCs w:val="20"/>
                <w:lang w:val="en-US"/>
              </w:rPr>
            </w:pPr>
            <w:r w:rsidRPr="00B37DBF">
              <w:rPr>
                <w:rFonts w:ascii="Calibri" w:hAnsi="Calibri" w:cs="Calibri"/>
                <w:b/>
                <w:bCs/>
                <w:sz w:val="20"/>
                <w:szCs w:val="20"/>
                <w:lang w:val="en-US"/>
              </w:rPr>
              <w:t xml:space="preserve">As per the clause payment of the retention amount will be made upon replacement and/or remedy of the services as identified by </w:t>
            </w:r>
            <w:r w:rsidR="00B5336E" w:rsidRPr="00B37DBF">
              <w:rPr>
                <w:rFonts w:ascii="Calibri" w:hAnsi="Calibri" w:cs="Calibri"/>
                <w:b/>
                <w:bCs/>
                <w:sz w:val="20"/>
                <w:szCs w:val="20"/>
                <w:lang w:val="en-US"/>
              </w:rPr>
              <w:t>TU Dublin</w:t>
            </w:r>
            <w:r w:rsidRPr="00B37DBF">
              <w:rPr>
                <w:rFonts w:ascii="Calibri" w:hAnsi="Calibri" w:cs="Calibri"/>
                <w:b/>
                <w:bCs/>
                <w:sz w:val="20"/>
                <w:szCs w:val="20"/>
                <w:lang w:val="en-US"/>
              </w:rPr>
              <w:t xml:space="preserve"> or resolution of outstanding queries</w:t>
            </w:r>
          </w:p>
        </w:tc>
      </w:tr>
      <w:tr w:rsidR="009F2C54" w:rsidRPr="00B37DBF" w14:paraId="7DE9B9F1" w14:textId="77777777" w:rsidTr="1F27295C">
        <w:tc>
          <w:tcPr>
            <w:tcW w:w="988" w:type="dxa"/>
          </w:tcPr>
          <w:p w14:paraId="0F05F35A" w14:textId="77777777" w:rsidR="009F2C54" w:rsidRPr="00B37DBF" w:rsidRDefault="009F2C54" w:rsidP="00767BB4">
            <w:pPr>
              <w:rPr>
                <w:rFonts w:ascii="Calibri" w:hAnsi="Calibri" w:cs="Calibri"/>
                <w:b/>
                <w:bCs/>
                <w:sz w:val="20"/>
                <w:szCs w:val="20"/>
                <w:lang w:val="en-US"/>
              </w:rPr>
            </w:pPr>
          </w:p>
        </w:tc>
        <w:tc>
          <w:tcPr>
            <w:tcW w:w="8505" w:type="dxa"/>
          </w:tcPr>
          <w:p w14:paraId="72556DF4" w14:textId="2E1A5E11" w:rsidR="009F2C54" w:rsidRPr="00B37DBF" w:rsidRDefault="00251DEA" w:rsidP="00767BB4">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-How does this interact with the performance management provisions and the 30-day remedy period at Clause 9B(1)?</w:t>
            </w:r>
            <w:r w:rsidRPr="00B37DBF">
              <w:rPr>
                <w:rFonts w:ascii="Calibri" w:hAnsi="Calibri" w:cs="Calibri"/>
                <w:b/>
                <w:bCs/>
                <w:color w:val="00241A"/>
                <w:sz w:val="20"/>
                <w:szCs w:val="20"/>
              </w:rPr>
              <w:br/>
            </w:r>
          </w:p>
        </w:tc>
        <w:tc>
          <w:tcPr>
            <w:tcW w:w="5895" w:type="dxa"/>
          </w:tcPr>
          <w:p w14:paraId="6EF5AAFE" w14:textId="1BE95C69" w:rsidR="002B4001" w:rsidRPr="00B37DBF" w:rsidRDefault="003C7A2B" w:rsidP="002B4001">
            <w:pPr>
              <w:rPr>
                <w:rFonts w:ascii="Calibri" w:hAnsi="Calibri" w:cs="Calibri"/>
                <w:b/>
                <w:bCs/>
                <w:sz w:val="20"/>
                <w:szCs w:val="20"/>
                <w:lang w:val="en-US"/>
              </w:rPr>
            </w:pPr>
            <w:r w:rsidRPr="00B37DBF">
              <w:rPr>
                <w:rFonts w:ascii="Calibri" w:hAnsi="Calibri" w:cs="Calibri"/>
                <w:b/>
                <w:bCs/>
                <w:sz w:val="20"/>
                <w:szCs w:val="20"/>
                <w:lang w:val="en-US"/>
              </w:rPr>
              <w:t>Clause 5F</w:t>
            </w:r>
            <w:r w:rsidR="00151FF4" w:rsidRPr="00B37DBF">
              <w:rPr>
                <w:rFonts w:ascii="Calibri" w:hAnsi="Calibri" w:cs="Calibri"/>
                <w:b/>
                <w:bCs/>
                <w:sz w:val="20"/>
                <w:szCs w:val="20"/>
                <w:lang w:val="en-US"/>
              </w:rPr>
              <w:t xml:space="preserve"> provides short-term payment leverage during performance issues. Claus</w:t>
            </w:r>
            <w:r w:rsidR="0086734B" w:rsidRPr="00B37DBF">
              <w:rPr>
                <w:rFonts w:ascii="Calibri" w:hAnsi="Calibri" w:cs="Calibri"/>
                <w:b/>
                <w:bCs/>
                <w:sz w:val="20"/>
                <w:szCs w:val="20"/>
                <w:lang w:val="en-US"/>
              </w:rPr>
              <w:t>e</w:t>
            </w:r>
            <w:r w:rsidR="00151FF4" w:rsidRPr="00B37DBF">
              <w:rPr>
                <w:rFonts w:ascii="Calibri" w:hAnsi="Calibri" w:cs="Calibri"/>
                <w:b/>
                <w:bCs/>
                <w:sz w:val="20"/>
                <w:szCs w:val="20"/>
                <w:lang w:val="en-US"/>
              </w:rPr>
              <w:t xml:space="preserve"> 9B(1) </w:t>
            </w:r>
            <w:r w:rsidR="002B4001" w:rsidRPr="00B37DBF">
              <w:rPr>
                <w:rFonts w:ascii="Calibri" w:hAnsi="Calibri" w:cs="Calibri"/>
                <w:b/>
                <w:bCs/>
                <w:sz w:val="20"/>
                <w:szCs w:val="20"/>
                <w:lang w:val="en-US"/>
              </w:rPr>
              <w:t>provides either party with the right to terminate for serious breach of contract or a series of breaches of contract where either the party in breach cannot remedy the breach(es) or has not</w:t>
            </w:r>
          </w:p>
          <w:p w14:paraId="52681490" w14:textId="61ADD2C6" w:rsidR="009F2C54" w:rsidRPr="00B37DBF" w:rsidRDefault="002B4001" w:rsidP="002B4001">
            <w:pPr>
              <w:rPr>
                <w:rFonts w:ascii="Calibri" w:hAnsi="Calibri" w:cs="Calibri"/>
                <w:b/>
                <w:bCs/>
                <w:sz w:val="20"/>
                <w:szCs w:val="20"/>
                <w:lang w:val="en-US"/>
              </w:rPr>
            </w:pPr>
            <w:r w:rsidRPr="00B37DBF">
              <w:rPr>
                <w:rFonts w:ascii="Calibri" w:hAnsi="Calibri" w:cs="Calibri"/>
                <w:b/>
                <w:bCs/>
                <w:sz w:val="20"/>
                <w:szCs w:val="20"/>
                <w:lang w:val="en-US"/>
              </w:rPr>
              <w:t>remedied the breach(es).</w:t>
            </w:r>
          </w:p>
        </w:tc>
      </w:tr>
      <w:tr w:rsidR="002B4001" w:rsidRPr="00B37DBF" w14:paraId="29B640A9" w14:textId="77777777" w:rsidTr="1F27295C">
        <w:tc>
          <w:tcPr>
            <w:tcW w:w="988" w:type="dxa"/>
          </w:tcPr>
          <w:p w14:paraId="4DF03B95" w14:textId="77777777" w:rsidR="002B4001" w:rsidRPr="00B37DBF" w:rsidRDefault="002B4001" w:rsidP="00767BB4">
            <w:pPr>
              <w:rPr>
                <w:rFonts w:ascii="Calibri" w:hAnsi="Calibri" w:cs="Calibri"/>
                <w:b/>
                <w:bCs/>
                <w:sz w:val="20"/>
                <w:szCs w:val="20"/>
                <w:lang w:val="en-US"/>
              </w:rPr>
            </w:pPr>
          </w:p>
        </w:tc>
        <w:tc>
          <w:tcPr>
            <w:tcW w:w="8505" w:type="dxa"/>
          </w:tcPr>
          <w:p w14:paraId="142AA477" w14:textId="4497893E" w:rsidR="002B4001" w:rsidRPr="00B37DBF" w:rsidRDefault="002B4001" w:rsidP="00767BB4">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-Will the Contractor be given prior written notice and an opportunity to remedy performance issues before retention is applied?</w:t>
            </w:r>
          </w:p>
        </w:tc>
        <w:tc>
          <w:tcPr>
            <w:tcW w:w="5895" w:type="dxa"/>
          </w:tcPr>
          <w:p w14:paraId="42F41AD5" w14:textId="1D5946AD" w:rsidR="002B4001" w:rsidRPr="00B37DBF" w:rsidRDefault="004B79C4" w:rsidP="002B4001">
            <w:pPr>
              <w:rPr>
                <w:rFonts w:ascii="Calibri" w:hAnsi="Calibri" w:cs="Calibri"/>
                <w:b/>
                <w:bCs/>
                <w:sz w:val="20"/>
                <w:szCs w:val="20"/>
                <w:lang w:val="en-US"/>
              </w:rPr>
            </w:pPr>
            <w:r w:rsidRPr="00B37DBF">
              <w:rPr>
                <w:rFonts w:ascii="Calibri" w:hAnsi="Calibri" w:cs="Calibri"/>
                <w:b/>
                <w:bCs/>
                <w:sz w:val="20"/>
                <w:szCs w:val="20"/>
                <w:lang w:val="en-US"/>
              </w:rPr>
              <w:t>TU Dublin</w:t>
            </w:r>
            <w:r w:rsidR="0079123F" w:rsidRPr="00B37DBF">
              <w:rPr>
                <w:rFonts w:ascii="Calibri" w:hAnsi="Calibri" w:cs="Calibri"/>
                <w:b/>
                <w:bCs/>
                <w:sz w:val="20"/>
                <w:szCs w:val="20"/>
                <w:lang w:val="en-US"/>
              </w:rPr>
              <w:t xml:space="preserve"> is not required to </w:t>
            </w:r>
            <w:r w:rsidR="00C74D6A" w:rsidRPr="00B37DBF">
              <w:rPr>
                <w:rFonts w:ascii="Calibri" w:hAnsi="Calibri" w:cs="Calibri"/>
                <w:b/>
                <w:bCs/>
                <w:sz w:val="20"/>
                <w:szCs w:val="20"/>
                <w:lang w:val="en-US"/>
              </w:rPr>
              <w:t xml:space="preserve">notify the Contractor in advance </w:t>
            </w:r>
            <w:r w:rsidR="0086734B" w:rsidRPr="00B37DBF">
              <w:rPr>
                <w:rFonts w:ascii="Calibri" w:hAnsi="Calibri" w:cs="Calibri"/>
                <w:b/>
                <w:bCs/>
                <w:sz w:val="20"/>
                <w:szCs w:val="20"/>
                <w:lang w:val="en-US"/>
              </w:rPr>
              <w:t xml:space="preserve">of applying retention. </w:t>
            </w:r>
          </w:p>
        </w:tc>
      </w:tr>
      <w:tr w:rsidR="00767BB4" w:rsidRPr="00B37DBF" w14:paraId="6B925973" w14:textId="77777777" w:rsidTr="1F27295C">
        <w:tc>
          <w:tcPr>
            <w:tcW w:w="988" w:type="dxa"/>
          </w:tcPr>
          <w:p w14:paraId="35881F18" w14:textId="77777777" w:rsidR="00767BB4" w:rsidRPr="00B37DBF" w:rsidRDefault="00767BB4" w:rsidP="00767BB4">
            <w:pPr>
              <w:rPr>
                <w:rFonts w:ascii="Calibri" w:hAnsi="Calibri" w:cs="Calibri"/>
                <w:b/>
                <w:bCs/>
                <w:sz w:val="20"/>
                <w:szCs w:val="20"/>
                <w:lang w:val="en-US"/>
              </w:rPr>
            </w:pPr>
          </w:p>
        </w:tc>
        <w:tc>
          <w:tcPr>
            <w:tcW w:w="8505" w:type="dxa"/>
          </w:tcPr>
          <w:p w14:paraId="421D9CAF" w14:textId="5F68EA51" w:rsidR="00767BB4" w:rsidRPr="00B37DBF" w:rsidRDefault="00767BB4" w:rsidP="0086734B">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Clause 5G makes time "of the essence," permitting immediate termination and refusal of payment for any delay. Please clarify:</w:t>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-How does this interact with Clause 9B(1) which permits 30 days to remedy breaches?</w:t>
            </w:r>
          </w:p>
        </w:tc>
        <w:tc>
          <w:tcPr>
            <w:tcW w:w="5895" w:type="dxa"/>
          </w:tcPr>
          <w:p w14:paraId="5F713A3D" w14:textId="77777777" w:rsidR="00596327" w:rsidRPr="00B37DBF" w:rsidRDefault="00596327" w:rsidP="00596327">
            <w:pPr>
              <w:rPr>
                <w:rFonts w:ascii="Calibri" w:hAnsi="Calibri" w:cs="Calibri"/>
                <w:b/>
                <w:bCs/>
                <w:sz w:val="20"/>
                <w:szCs w:val="20"/>
                <w:lang w:val="en-US"/>
              </w:rPr>
            </w:pPr>
            <w:r w:rsidRPr="00B37DBF">
              <w:rPr>
                <w:rFonts w:ascii="Calibri" w:hAnsi="Calibri" w:cs="Calibri"/>
                <w:b/>
                <w:bCs/>
                <w:sz w:val="20"/>
                <w:szCs w:val="20"/>
                <w:lang w:val="en-US"/>
              </w:rPr>
              <w:t>As above Clause 9B(1) provides either party with the right to terminate for serious breach of contract or a series of breaches of contract where either the party in breach cannot remedy the breach(es) or has not</w:t>
            </w:r>
          </w:p>
          <w:p w14:paraId="0510AB90" w14:textId="15D42B6D" w:rsidR="00767BB4" w:rsidRPr="00B37DBF" w:rsidRDefault="00596327" w:rsidP="00596327">
            <w:pPr>
              <w:rPr>
                <w:rFonts w:ascii="Calibri" w:hAnsi="Calibri" w:cs="Calibri"/>
                <w:b/>
                <w:bCs/>
                <w:sz w:val="20"/>
                <w:szCs w:val="20"/>
                <w:lang w:val="en-US"/>
              </w:rPr>
            </w:pPr>
            <w:r w:rsidRPr="00B37DBF">
              <w:rPr>
                <w:rFonts w:ascii="Calibri" w:hAnsi="Calibri" w:cs="Calibri"/>
                <w:b/>
                <w:bCs/>
                <w:sz w:val="20"/>
                <w:szCs w:val="20"/>
                <w:lang w:val="en-US"/>
              </w:rPr>
              <w:t>remedied the breach(es).</w:t>
            </w:r>
          </w:p>
        </w:tc>
      </w:tr>
      <w:tr w:rsidR="00767BB4" w:rsidRPr="00B37DBF" w14:paraId="68C4B5A9" w14:textId="77777777" w:rsidTr="1F27295C">
        <w:tc>
          <w:tcPr>
            <w:tcW w:w="988" w:type="dxa"/>
          </w:tcPr>
          <w:p w14:paraId="6C9FBFEE" w14:textId="77777777" w:rsidR="00767BB4" w:rsidRPr="00B37DBF" w:rsidRDefault="00767BB4" w:rsidP="00767BB4">
            <w:pPr>
              <w:rPr>
                <w:rFonts w:ascii="Calibri" w:hAnsi="Calibri" w:cs="Calibri"/>
                <w:b/>
                <w:bCs/>
                <w:sz w:val="20"/>
                <w:szCs w:val="20"/>
                <w:lang w:val="en-US"/>
              </w:rPr>
            </w:pPr>
          </w:p>
        </w:tc>
        <w:tc>
          <w:tcPr>
            <w:tcW w:w="8505" w:type="dxa"/>
          </w:tcPr>
          <w:p w14:paraId="4792F0AA" w14:textId="27371B16" w:rsidR="00767BB4" w:rsidRPr="00B37DBF" w:rsidRDefault="0086734B" w:rsidP="00596327">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-For ad-hoc framework call-offs, how will delivery timescales be agreed to ensure clarity on when "time is of the essence"?</w:t>
            </w:r>
          </w:p>
        </w:tc>
        <w:tc>
          <w:tcPr>
            <w:tcW w:w="5895" w:type="dxa"/>
          </w:tcPr>
          <w:p w14:paraId="6B27967A" w14:textId="106D17DA" w:rsidR="00767BB4" w:rsidRPr="00B37DBF" w:rsidRDefault="00F220D0" w:rsidP="00767BB4">
            <w:pPr>
              <w:rPr>
                <w:rFonts w:ascii="Calibri" w:hAnsi="Calibri" w:cs="Calibri"/>
                <w:b/>
                <w:bCs/>
                <w:color w:val="FF0000"/>
                <w:sz w:val="20"/>
                <w:szCs w:val="20"/>
                <w:lang w:val="en-US"/>
              </w:rPr>
            </w:pPr>
            <w:r w:rsidRPr="00B37DBF">
              <w:rPr>
                <w:rFonts w:ascii="Calibri" w:hAnsi="Calibri" w:cs="Calibri"/>
                <w:b/>
                <w:bCs/>
                <w:sz w:val="20"/>
                <w:szCs w:val="20"/>
                <w:lang w:val="en-US"/>
              </w:rPr>
              <w:t>If relating to a project, this will be identified in brief. Refer to Appendix 1, Section 4 for expected response times generally for services and were relating to an emergency call out – response to be within 24 hours.</w:t>
            </w:r>
          </w:p>
        </w:tc>
      </w:tr>
      <w:tr w:rsidR="00767BB4" w:rsidRPr="00B37DBF" w14:paraId="61BA5502" w14:textId="77777777" w:rsidTr="1F27295C">
        <w:tc>
          <w:tcPr>
            <w:tcW w:w="988" w:type="dxa"/>
          </w:tcPr>
          <w:p w14:paraId="2BD5A27B" w14:textId="77777777" w:rsidR="00767BB4" w:rsidRPr="00B37DBF" w:rsidRDefault="00767BB4" w:rsidP="00767BB4">
            <w:pPr>
              <w:rPr>
                <w:rFonts w:ascii="Calibri" w:hAnsi="Calibri" w:cs="Calibri"/>
                <w:b/>
                <w:bCs/>
                <w:sz w:val="20"/>
                <w:szCs w:val="20"/>
                <w:lang w:val="en-US"/>
              </w:rPr>
            </w:pPr>
          </w:p>
        </w:tc>
        <w:tc>
          <w:tcPr>
            <w:tcW w:w="8505" w:type="dxa"/>
          </w:tcPr>
          <w:p w14:paraId="3DC707D9" w14:textId="6873BA49" w:rsidR="00767BB4" w:rsidRPr="00B37DBF" w:rsidRDefault="00596327" w:rsidP="00596327">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-Will TU Dublin provide a warning and opportunity to remedy before exercising termination rights under Clause 5G?</w:t>
            </w:r>
          </w:p>
        </w:tc>
        <w:tc>
          <w:tcPr>
            <w:tcW w:w="5895" w:type="dxa"/>
          </w:tcPr>
          <w:p w14:paraId="1784EE65" w14:textId="01062F4F" w:rsidR="00767BB4" w:rsidRPr="00B37DBF" w:rsidRDefault="004B79C4" w:rsidP="00767BB4">
            <w:pPr>
              <w:rPr>
                <w:rFonts w:ascii="Calibri" w:hAnsi="Calibri" w:cs="Calibri"/>
                <w:b/>
                <w:bCs/>
                <w:sz w:val="20"/>
                <w:szCs w:val="20"/>
                <w:lang w:val="en-US"/>
              </w:rPr>
            </w:pPr>
            <w:r w:rsidRPr="00B37DBF">
              <w:rPr>
                <w:rFonts w:ascii="Calibri" w:hAnsi="Calibri" w:cs="Calibri"/>
                <w:b/>
                <w:bCs/>
                <w:sz w:val="20"/>
                <w:szCs w:val="20"/>
                <w:lang w:val="en-US"/>
              </w:rPr>
              <w:t>TU Dublin are not obliged under this clause to provide a warning or an opportunity to remedy the delay</w:t>
            </w:r>
          </w:p>
        </w:tc>
      </w:tr>
      <w:tr w:rsidR="00767BB4" w:rsidRPr="00B37DBF" w14:paraId="6D7366DB" w14:textId="77777777" w:rsidTr="1F27295C">
        <w:tc>
          <w:tcPr>
            <w:tcW w:w="988" w:type="dxa"/>
          </w:tcPr>
          <w:p w14:paraId="0F151059" w14:textId="77777777" w:rsidR="00767BB4" w:rsidRPr="00B37DBF" w:rsidRDefault="00767BB4" w:rsidP="00767BB4">
            <w:pPr>
              <w:rPr>
                <w:rFonts w:ascii="Calibri" w:hAnsi="Calibri" w:cs="Calibri"/>
                <w:b/>
                <w:bCs/>
                <w:sz w:val="20"/>
                <w:szCs w:val="20"/>
                <w:lang w:val="en-US"/>
              </w:rPr>
            </w:pPr>
          </w:p>
        </w:tc>
        <w:tc>
          <w:tcPr>
            <w:tcW w:w="8505" w:type="dxa"/>
          </w:tcPr>
          <w:p w14:paraId="471414EE" w14:textId="77777777" w:rsidR="00596327" w:rsidRPr="00B37DBF" w:rsidRDefault="00596327" w:rsidP="00596327">
            <w:pPr>
              <w:rPr>
                <w:rFonts w:ascii="Calibri" w:hAnsi="Calibri" w:cs="Calibri"/>
                <w:b/>
                <w:bCs/>
                <w:color w:val="00241A"/>
                <w:sz w:val="20"/>
                <w:szCs w:val="20"/>
                <w:shd w:val="clear" w:color="auto" w:fill="FFFFFF"/>
              </w:rPr>
            </w:pPr>
            <w:r w:rsidRPr="00B37DBF">
              <w:rPr>
                <w:rFonts w:ascii="Calibri" w:hAnsi="Calibri" w:cs="Calibri"/>
                <w:b/>
                <w:bCs/>
                <w:color w:val="00241A"/>
                <w:sz w:val="20"/>
                <w:szCs w:val="20"/>
                <w:shd w:val="clear" w:color="auto" w:fill="FFFFFF"/>
              </w:rPr>
              <w:t>-To assist TU Dublin in understanding our concerns and to facilitate competitive pricing, we have drafted suggested alternative wording for Clauses 5F and 5G below, which we believe would provide greater clarity and certainty whilst maintaining TU Dublin's ability to manage contractor performance effectively.</w:t>
            </w:r>
            <w:r w:rsidRPr="00B37DBF">
              <w:rPr>
                <w:rFonts w:ascii="Calibri" w:hAnsi="Calibri" w:cs="Calibri"/>
                <w:b/>
                <w:bCs/>
                <w:color w:val="00241A"/>
                <w:sz w:val="20"/>
                <w:szCs w:val="20"/>
              </w:rPr>
              <w:br/>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We respectfully ask whether TU Dublin would be willing to consider these amendments:</w:t>
            </w:r>
            <w:r w:rsidRPr="00B37DBF">
              <w:rPr>
                <w:rFonts w:ascii="Calibri" w:hAnsi="Calibri" w:cs="Calibri"/>
                <w:b/>
                <w:bCs/>
                <w:color w:val="00241A"/>
                <w:sz w:val="20"/>
                <w:szCs w:val="20"/>
              </w:rPr>
              <w:br/>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We would request that 5F and G be amended as follows:</w:t>
            </w:r>
            <w:r w:rsidRPr="00B37DBF">
              <w:rPr>
                <w:rFonts w:ascii="Calibri" w:hAnsi="Calibri" w:cs="Calibri"/>
                <w:b/>
                <w:bCs/>
                <w:color w:val="00241A"/>
                <w:sz w:val="20"/>
                <w:szCs w:val="20"/>
              </w:rPr>
              <w:br/>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F.</w:t>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If the Client is dissatisfied with any aspect of the Contractor's performance, the Client shall notify the Contractor in writing, identifying the specific Services in question and providing the reasons for such dissatisfaction. Upon receiving this notice, the Contractor shall promptly take reasonable steps to remedy or rectify the identified Services, or to address any outstanding queries to the Client's reasonable satisfaction.</w:t>
            </w:r>
            <w:r w:rsidRPr="00B37DBF">
              <w:rPr>
                <w:rFonts w:ascii="Calibri" w:hAnsi="Calibri" w:cs="Calibri"/>
                <w:b/>
                <w:bCs/>
                <w:color w:val="00241A"/>
                <w:sz w:val="20"/>
                <w:szCs w:val="20"/>
              </w:rPr>
              <w:br/>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G.</w:t>
            </w:r>
            <w:r w:rsidRPr="00B37DBF">
              <w:rPr>
                <w:rFonts w:ascii="Calibri" w:hAnsi="Calibri" w:cs="Calibri"/>
                <w:b/>
                <w:bCs/>
                <w:color w:val="00241A"/>
                <w:sz w:val="20"/>
                <w:szCs w:val="20"/>
              </w:rPr>
              <w:br/>
            </w:r>
            <w:r w:rsidRPr="00B37DBF">
              <w:rPr>
                <w:rFonts w:ascii="Calibri" w:hAnsi="Calibri" w:cs="Calibri"/>
                <w:b/>
                <w:bCs/>
                <w:color w:val="00241A"/>
                <w:sz w:val="20"/>
                <w:szCs w:val="20"/>
                <w:shd w:val="clear" w:color="auto" w:fill="FFFFFF"/>
              </w:rPr>
              <w:t>Without prejudice to any other rights or remedies under this Agreement, if the Contractor fails to deliver the Services in accordance with the agreed delivery dates/lead times and/or this Agreement and accompanying Schedules, the Client may require the Contractor to take reasonable steps to rectify the delay and minimise any resulting disruption. If such delay continues beyond a reasonable period, the Client shall be entitled to:</w:t>
            </w:r>
            <w:r w:rsidRPr="00B37DBF">
              <w:rPr>
                <w:rFonts w:ascii="Calibri" w:hAnsi="Calibri" w:cs="Calibri"/>
                <w:b/>
                <w:bCs/>
                <w:color w:val="00241A"/>
                <w:sz w:val="20"/>
                <w:szCs w:val="20"/>
              </w:rPr>
              <w:br/>
            </w:r>
            <w:r w:rsidRPr="00B37DBF">
              <w:rPr>
                <w:rFonts w:ascii="Calibri" w:hAnsi="Calibri" w:cs="Calibri"/>
                <w:b/>
                <w:bCs/>
                <w:color w:val="00241A"/>
                <w:sz w:val="20"/>
                <w:szCs w:val="20"/>
              </w:rPr>
              <w:br/>
            </w:r>
            <w:proofErr w:type="gramStart"/>
            <w:r w:rsidRPr="00B37DBF">
              <w:rPr>
                <w:rFonts w:ascii="Calibri" w:hAnsi="Calibri" w:cs="Calibri"/>
                <w:b/>
                <w:bCs/>
                <w:color w:val="00241A"/>
                <w:sz w:val="20"/>
                <w:szCs w:val="20"/>
                <w:shd w:val="clear" w:color="auto" w:fill="FFFFFF"/>
              </w:rPr>
              <w:t>1</w:t>
            </w:r>
            <w:proofErr w:type="gramEnd"/>
            <w:r w:rsidRPr="00B37DBF">
              <w:rPr>
                <w:rFonts w:ascii="Calibri" w:hAnsi="Calibri" w:cs="Calibri"/>
                <w:b/>
                <w:bCs/>
                <w:color w:val="00241A"/>
                <w:sz w:val="20"/>
                <w:szCs w:val="20"/>
                <w:shd w:val="clear" w:color="auto" w:fill="FFFFFF"/>
              </w:rPr>
              <w:t>. Seek compensation for any direct loss or damage it incurs as a result of the delay, whether under this Agreement or at law; and</w:t>
            </w:r>
            <w:r w:rsidRPr="00B37DBF">
              <w:rPr>
                <w:rFonts w:ascii="Calibri" w:hAnsi="Calibri" w:cs="Calibri"/>
                <w:b/>
                <w:bCs/>
                <w:color w:val="00241A"/>
                <w:sz w:val="20"/>
                <w:szCs w:val="20"/>
              </w:rPr>
              <w:br/>
            </w:r>
            <w:r w:rsidRPr="00B37DBF">
              <w:rPr>
                <w:rFonts w:ascii="Calibri" w:hAnsi="Calibri" w:cs="Calibri"/>
                <w:b/>
                <w:bCs/>
                <w:color w:val="00241A"/>
                <w:sz w:val="20"/>
                <w:szCs w:val="20"/>
              </w:rPr>
              <w:br/>
            </w:r>
            <w:proofErr w:type="gramStart"/>
            <w:r w:rsidRPr="00B37DBF">
              <w:rPr>
                <w:rFonts w:ascii="Calibri" w:hAnsi="Calibri" w:cs="Calibri"/>
                <w:b/>
                <w:bCs/>
                <w:color w:val="00241A"/>
                <w:sz w:val="20"/>
                <w:szCs w:val="20"/>
                <w:shd w:val="clear" w:color="auto" w:fill="FFFFFF"/>
              </w:rPr>
              <w:t>2</w:t>
            </w:r>
            <w:proofErr w:type="gramEnd"/>
            <w:r w:rsidRPr="00B37DBF">
              <w:rPr>
                <w:rFonts w:ascii="Calibri" w:hAnsi="Calibri" w:cs="Calibri"/>
                <w:b/>
                <w:bCs/>
                <w:color w:val="00241A"/>
                <w:sz w:val="20"/>
                <w:szCs w:val="20"/>
                <w:shd w:val="clear" w:color="auto" w:fill="FFFFFF"/>
              </w:rPr>
              <w:t>. Terminate this Agreement with immediate effect by providing written notice to the Contractor.</w:t>
            </w:r>
          </w:p>
          <w:p w14:paraId="3620E3C6" w14:textId="77777777" w:rsidR="00767BB4" w:rsidRPr="00B37DBF" w:rsidRDefault="00767BB4" w:rsidP="00767BB4">
            <w:pPr>
              <w:rPr>
                <w:rFonts w:ascii="Calibri" w:hAnsi="Calibri" w:cs="Calibri"/>
                <w:b/>
                <w:bCs/>
                <w:color w:val="00241A"/>
                <w:sz w:val="20"/>
                <w:szCs w:val="20"/>
                <w:shd w:val="clear" w:color="auto" w:fill="FFFFFF"/>
              </w:rPr>
            </w:pPr>
          </w:p>
        </w:tc>
        <w:tc>
          <w:tcPr>
            <w:tcW w:w="5895" w:type="dxa"/>
          </w:tcPr>
          <w:p w14:paraId="26CEFAAC" w14:textId="1CC78977" w:rsidR="00767BB4" w:rsidRPr="00B37DBF" w:rsidRDefault="00B5336E" w:rsidP="00767BB4">
            <w:pPr>
              <w:rPr>
                <w:rFonts w:ascii="Calibri" w:hAnsi="Calibri" w:cs="Calibri"/>
                <w:b/>
                <w:bCs/>
                <w:sz w:val="20"/>
                <w:szCs w:val="20"/>
                <w:lang w:val="en-US"/>
              </w:rPr>
            </w:pPr>
            <w:r w:rsidRPr="00B37DBF">
              <w:rPr>
                <w:rFonts w:ascii="Calibri" w:hAnsi="Calibri" w:cs="Calibri"/>
                <w:b/>
                <w:bCs/>
                <w:sz w:val="20"/>
                <w:szCs w:val="20"/>
              </w:rPr>
              <w:t>The contract published with the RFT is a standard Office of Government Procurement contract used throughout the Public Sector, it is unusual for any significant variations to be made to this contract</w:t>
            </w:r>
          </w:p>
        </w:tc>
      </w:tr>
    </w:tbl>
    <w:p w14:paraId="207F6915" w14:textId="77777777" w:rsidR="00580D31" w:rsidRPr="00B37DBF" w:rsidRDefault="00580D31" w:rsidP="00020F4E">
      <w:pPr>
        <w:rPr>
          <w:rFonts w:ascii="Calibri" w:hAnsi="Calibri" w:cs="Calibri"/>
          <w:b/>
          <w:bCs/>
          <w:sz w:val="20"/>
          <w:szCs w:val="20"/>
          <w:lang w:val="en-US"/>
        </w:rPr>
      </w:pPr>
    </w:p>
    <w:sectPr w:rsidR="00580D31" w:rsidRPr="00B37DBF" w:rsidSect="000D5AF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AF5"/>
    <w:rsid w:val="0002011B"/>
    <w:rsid w:val="00020F4E"/>
    <w:rsid w:val="0002736F"/>
    <w:rsid w:val="00046E7F"/>
    <w:rsid w:val="0005154A"/>
    <w:rsid w:val="000738A7"/>
    <w:rsid w:val="000B7710"/>
    <w:rsid w:val="000C3D3B"/>
    <w:rsid w:val="000D5AF5"/>
    <w:rsid w:val="000F13EE"/>
    <w:rsid w:val="00133FDC"/>
    <w:rsid w:val="00136771"/>
    <w:rsid w:val="00150A82"/>
    <w:rsid w:val="00151FF4"/>
    <w:rsid w:val="00160F75"/>
    <w:rsid w:val="001C525B"/>
    <w:rsid w:val="001C5885"/>
    <w:rsid w:val="001E1F77"/>
    <w:rsid w:val="001F2D9A"/>
    <w:rsid w:val="00205588"/>
    <w:rsid w:val="00225833"/>
    <w:rsid w:val="0023164D"/>
    <w:rsid w:val="00236D0C"/>
    <w:rsid w:val="00247422"/>
    <w:rsid w:val="00251DEA"/>
    <w:rsid w:val="002746D6"/>
    <w:rsid w:val="002A5E56"/>
    <w:rsid w:val="002A7A76"/>
    <w:rsid w:val="002B2A63"/>
    <w:rsid w:val="002B3018"/>
    <w:rsid w:val="002B4001"/>
    <w:rsid w:val="002C1FCA"/>
    <w:rsid w:val="002C3F48"/>
    <w:rsid w:val="002C6B22"/>
    <w:rsid w:val="002D68B2"/>
    <w:rsid w:val="0030121C"/>
    <w:rsid w:val="0036116C"/>
    <w:rsid w:val="003C09E4"/>
    <w:rsid w:val="003C341F"/>
    <w:rsid w:val="003C7A2B"/>
    <w:rsid w:val="003D6A69"/>
    <w:rsid w:val="003F5A6E"/>
    <w:rsid w:val="0041237B"/>
    <w:rsid w:val="00441507"/>
    <w:rsid w:val="00451EAE"/>
    <w:rsid w:val="00454E29"/>
    <w:rsid w:val="00456C40"/>
    <w:rsid w:val="00463368"/>
    <w:rsid w:val="0047079C"/>
    <w:rsid w:val="004755F6"/>
    <w:rsid w:val="00484B56"/>
    <w:rsid w:val="0049053C"/>
    <w:rsid w:val="00491468"/>
    <w:rsid w:val="004A7F0D"/>
    <w:rsid w:val="004B3D44"/>
    <w:rsid w:val="004B79C4"/>
    <w:rsid w:val="004F1373"/>
    <w:rsid w:val="005002BF"/>
    <w:rsid w:val="0052021D"/>
    <w:rsid w:val="005266D2"/>
    <w:rsid w:val="0052684E"/>
    <w:rsid w:val="00547EA5"/>
    <w:rsid w:val="00556748"/>
    <w:rsid w:val="00580D31"/>
    <w:rsid w:val="00581882"/>
    <w:rsid w:val="00596327"/>
    <w:rsid w:val="005B3812"/>
    <w:rsid w:val="005C146C"/>
    <w:rsid w:val="005D1F79"/>
    <w:rsid w:val="005D2D5B"/>
    <w:rsid w:val="005E637E"/>
    <w:rsid w:val="005E7286"/>
    <w:rsid w:val="00606C0D"/>
    <w:rsid w:val="0061257D"/>
    <w:rsid w:val="006167E1"/>
    <w:rsid w:val="00657615"/>
    <w:rsid w:val="00683982"/>
    <w:rsid w:val="00683A22"/>
    <w:rsid w:val="006A3EC1"/>
    <w:rsid w:val="006B316F"/>
    <w:rsid w:val="006C068E"/>
    <w:rsid w:val="006D4775"/>
    <w:rsid w:val="00717A12"/>
    <w:rsid w:val="00723E41"/>
    <w:rsid w:val="00745D62"/>
    <w:rsid w:val="00747E70"/>
    <w:rsid w:val="00767BB4"/>
    <w:rsid w:val="007709FE"/>
    <w:rsid w:val="007868D3"/>
    <w:rsid w:val="0079123F"/>
    <w:rsid w:val="00796B3B"/>
    <w:rsid w:val="007C48BA"/>
    <w:rsid w:val="007E078D"/>
    <w:rsid w:val="008241C6"/>
    <w:rsid w:val="0083518C"/>
    <w:rsid w:val="0086734B"/>
    <w:rsid w:val="00875C9C"/>
    <w:rsid w:val="00886D4D"/>
    <w:rsid w:val="00890396"/>
    <w:rsid w:val="008A5A79"/>
    <w:rsid w:val="008C2B25"/>
    <w:rsid w:val="008D4645"/>
    <w:rsid w:val="008D4A5D"/>
    <w:rsid w:val="008E4EE1"/>
    <w:rsid w:val="009238C9"/>
    <w:rsid w:val="00926DDD"/>
    <w:rsid w:val="009450F2"/>
    <w:rsid w:val="00946ADC"/>
    <w:rsid w:val="00947FE2"/>
    <w:rsid w:val="009566F5"/>
    <w:rsid w:val="0095675E"/>
    <w:rsid w:val="0096013E"/>
    <w:rsid w:val="00964617"/>
    <w:rsid w:val="009941C5"/>
    <w:rsid w:val="009B2987"/>
    <w:rsid w:val="009F2C54"/>
    <w:rsid w:val="00A00633"/>
    <w:rsid w:val="00A10F83"/>
    <w:rsid w:val="00A26093"/>
    <w:rsid w:val="00A60351"/>
    <w:rsid w:val="00A61F4B"/>
    <w:rsid w:val="00A774AE"/>
    <w:rsid w:val="00AB29C3"/>
    <w:rsid w:val="00AB693B"/>
    <w:rsid w:val="00AE62F8"/>
    <w:rsid w:val="00AF6830"/>
    <w:rsid w:val="00B12405"/>
    <w:rsid w:val="00B14153"/>
    <w:rsid w:val="00B1610F"/>
    <w:rsid w:val="00B16EC9"/>
    <w:rsid w:val="00B350CE"/>
    <w:rsid w:val="00B37DBF"/>
    <w:rsid w:val="00B4010E"/>
    <w:rsid w:val="00B5336E"/>
    <w:rsid w:val="00B6314E"/>
    <w:rsid w:val="00B63AC1"/>
    <w:rsid w:val="00B72475"/>
    <w:rsid w:val="00BA76B0"/>
    <w:rsid w:val="00BD046B"/>
    <w:rsid w:val="00BE1046"/>
    <w:rsid w:val="00C46FCB"/>
    <w:rsid w:val="00C53CEE"/>
    <w:rsid w:val="00C63218"/>
    <w:rsid w:val="00C63896"/>
    <w:rsid w:val="00C74D6A"/>
    <w:rsid w:val="00C9423F"/>
    <w:rsid w:val="00C94C8B"/>
    <w:rsid w:val="00CC5884"/>
    <w:rsid w:val="00CD3F7A"/>
    <w:rsid w:val="00D368B0"/>
    <w:rsid w:val="00D50A84"/>
    <w:rsid w:val="00D71DBF"/>
    <w:rsid w:val="00D71E92"/>
    <w:rsid w:val="00D821A3"/>
    <w:rsid w:val="00D83DFA"/>
    <w:rsid w:val="00D9789B"/>
    <w:rsid w:val="00DA6BBD"/>
    <w:rsid w:val="00DB580B"/>
    <w:rsid w:val="00DB74CE"/>
    <w:rsid w:val="00DC5599"/>
    <w:rsid w:val="00DD1328"/>
    <w:rsid w:val="00E1315E"/>
    <w:rsid w:val="00E329A1"/>
    <w:rsid w:val="00E36D0D"/>
    <w:rsid w:val="00E464BA"/>
    <w:rsid w:val="00E52086"/>
    <w:rsid w:val="00E6092A"/>
    <w:rsid w:val="00E729E1"/>
    <w:rsid w:val="00E84D85"/>
    <w:rsid w:val="00E915A4"/>
    <w:rsid w:val="00EA2F52"/>
    <w:rsid w:val="00EA3CDB"/>
    <w:rsid w:val="00EA7E17"/>
    <w:rsid w:val="00EB4CB0"/>
    <w:rsid w:val="00ED5B22"/>
    <w:rsid w:val="00EE170B"/>
    <w:rsid w:val="00F220D0"/>
    <w:rsid w:val="00F26B7C"/>
    <w:rsid w:val="00F41F2F"/>
    <w:rsid w:val="00F605A1"/>
    <w:rsid w:val="00F72F43"/>
    <w:rsid w:val="00FB04C1"/>
    <w:rsid w:val="00FF09C7"/>
    <w:rsid w:val="1F27295C"/>
    <w:rsid w:val="2512E282"/>
    <w:rsid w:val="28105591"/>
    <w:rsid w:val="4BBA4061"/>
    <w:rsid w:val="7384A7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EC97"/>
  <w15:chartTrackingRefBased/>
  <w15:docId w15:val="{815A35C7-BD58-491B-A5DF-11A700C9F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5A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5A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5A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5A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5A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5A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5A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5A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5A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A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5A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5A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5A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5A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5A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5A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5A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5AF5"/>
    <w:rPr>
      <w:rFonts w:eastAsiaTheme="majorEastAsia" w:cstheme="majorBidi"/>
      <w:color w:val="272727" w:themeColor="text1" w:themeTint="D8"/>
    </w:rPr>
  </w:style>
  <w:style w:type="paragraph" w:styleId="Title">
    <w:name w:val="Title"/>
    <w:basedOn w:val="Normal"/>
    <w:next w:val="Normal"/>
    <w:link w:val="TitleChar"/>
    <w:uiPriority w:val="10"/>
    <w:qFormat/>
    <w:rsid w:val="000D5A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5A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A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5A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5AF5"/>
    <w:pPr>
      <w:spacing w:before="160"/>
      <w:jc w:val="center"/>
    </w:pPr>
    <w:rPr>
      <w:i/>
      <w:iCs/>
      <w:color w:val="404040" w:themeColor="text1" w:themeTint="BF"/>
    </w:rPr>
  </w:style>
  <w:style w:type="character" w:customStyle="1" w:styleId="QuoteChar">
    <w:name w:val="Quote Char"/>
    <w:basedOn w:val="DefaultParagraphFont"/>
    <w:link w:val="Quote"/>
    <w:uiPriority w:val="29"/>
    <w:rsid w:val="000D5AF5"/>
    <w:rPr>
      <w:i/>
      <w:iCs/>
      <w:color w:val="404040" w:themeColor="text1" w:themeTint="BF"/>
    </w:rPr>
  </w:style>
  <w:style w:type="paragraph" w:styleId="ListParagraph">
    <w:name w:val="List Paragraph"/>
    <w:basedOn w:val="Normal"/>
    <w:uiPriority w:val="34"/>
    <w:qFormat/>
    <w:rsid w:val="000D5AF5"/>
    <w:pPr>
      <w:ind w:left="720"/>
      <w:contextualSpacing/>
    </w:pPr>
  </w:style>
  <w:style w:type="character" w:styleId="IntenseEmphasis">
    <w:name w:val="Intense Emphasis"/>
    <w:basedOn w:val="DefaultParagraphFont"/>
    <w:uiPriority w:val="21"/>
    <w:qFormat/>
    <w:rsid w:val="000D5AF5"/>
    <w:rPr>
      <w:i/>
      <w:iCs/>
      <w:color w:val="0F4761" w:themeColor="accent1" w:themeShade="BF"/>
    </w:rPr>
  </w:style>
  <w:style w:type="paragraph" w:styleId="IntenseQuote">
    <w:name w:val="Intense Quote"/>
    <w:basedOn w:val="Normal"/>
    <w:next w:val="Normal"/>
    <w:link w:val="IntenseQuoteChar"/>
    <w:uiPriority w:val="30"/>
    <w:qFormat/>
    <w:rsid w:val="000D5A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5AF5"/>
    <w:rPr>
      <w:i/>
      <w:iCs/>
      <w:color w:val="0F4761" w:themeColor="accent1" w:themeShade="BF"/>
    </w:rPr>
  </w:style>
  <w:style w:type="character" w:styleId="IntenseReference">
    <w:name w:val="Intense Reference"/>
    <w:basedOn w:val="DefaultParagraphFont"/>
    <w:uiPriority w:val="32"/>
    <w:qFormat/>
    <w:rsid w:val="000D5AF5"/>
    <w:rPr>
      <w:b/>
      <w:bCs/>
      <w:smallCaps/>
      <w:color w:val="0F4761" w:themeColor="accent1" w:themeShade="BF"/>
      <w:spacing w:val="5"/>
    </w:rPr>
  </w:style>
  <w:style w:type="table" w:styleId="TableGrid">
    <w:name w:val="Table Grid"/>
    <w:basedOn w:val="TableNormal"/>
    <w:uiPriority w:val="39"/>
    <w:rsid w:val="000D5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68B0"/>
    <w:rPr>
      <w:color w:val="467886" w:themeColor="hyperlink"/>
      <w:u w:val="single"/>
    </w:rPr>
  </w:style>
  <w:style w:type="character" w:styleId="UnresolvedMention">
    <w:name w:val="Unresolved Mention"/>
    <w:basedOn w:val="DefaultParagraphFont"/>
    <w:uiPriority w:val="99"/>
    <w:semiHidden/>
    <w:unhideWhenUsed/>
    <w:rsid w:val="00D368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SharedWithUsers xmlns="6f951b0b-0839-454e-a5ea-d64b510892db">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CE3846-C479-4EEB-94AA-C0EB21A65B3F}">
  <ds:schemaRefs>
    <ds:schemaRef ds:uri="http://schemas.microsoft.com/sharepoint/v3/contenttype/forms"/>
  </ds:schemaRefs>
</ds:datastoreItem>
</file>

<file path=customXml/itemProps2.xml><?xml version="1.0" encoding="utf-8"?>
<ds:datastoreItem xmlns:ds="http://schemas.openxmlformats.org/officeDocument/2006/customXml" ds:itemID="{C04D9553-11BE-408A-A5C4-AD14EE13AFEB}">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3.xml><?xml version="1.0" encoding="utf-8"?>
<ds:datastoreItem xmlns:ds="http://schemas.openxmlformats.org/officeDocument/2006/customXml" ds:itemID="{F5ECB6EF-1B83-474C-808A-F3C7CF07F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Normal.dotm</Template>
  <TotalTime>95</TotalTime>
  <Pages>1</Pages>
  <Words>1550</Words>
  <Characters>8840</Characters>
  <Application>Microsoft Office Word</Application>
  <DocSecurity>4</DocSecurity>
  <Lines>73</Lines>
  <Paragraphs>20</Paragraphs>
  <ScaleCrop>false</ScaleCrop>
  <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Darcy</dc:creator>
  <cp:keywords/>
  <dc:description/>
  <cp:lastModifiedBy>Elizabeth Darcy</cp:lastModifiedBy>
  <cp:revision>89</cp:revision>
  <dcterms:created xsi:type="dcterms:W3CDTF">2026-01-20T01:21:00Z</dcterms:created>
  <dcterms:modified xsi:type="dcterms:W3CDTF">2026-04-22T13:53:00Z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y fmtid="{D5CDD505-2E9C-101B-9397-08002B2CF9AE}" pid="4" name="Order">
    <vt:r8>77569600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