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tbl>
      <w:tblPr>
        <w:tblStyle w:val="TableGrid"/>
        <w:tblW w:w="991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5"/>
        <w:gridCol w:w="4134"/>
        <w:gridCol w:w="5246"/>
      </w:tblGrid>
      <w:tr w:rsidR="6F2F9FE7" w14:paraId="2091BC7E" w14:textId="77777777" w:rsidTr="100955F1">
        <w:trPr>
          <w:trHeight w:val="300"/>
        </w:trPr>
        <w:tc>
          <w:tcPr>
            <w:tcW w:w="9915" w:type="dxa"/>
            <w:gridSpan w:val="3"/>
            <w:tcMar>
              <w:left w:w="105" w:type="dxa"/>
              <w:right w:w="105" w:type="dxa"/>
            </w:tcMar>
          </w:tcPr>
          <w:p w14:paraId="4C9531B0" w14:textId="6D4A0AD2" w:rsidR="6F2F9FE7" w:rsidRDefault="6F2F9FE7" w:rsidP="6F2F9FE7">
            <w:pPr>
              <w:rPr>
                <w:rFonts w:ascii="Aptos" w:eastAsia="Aptos" w:hAnsi="Aptos" w:cs="Aptos"/>
                <w:b/>
                <w:bCs/>
              </w:rPr>
            </w:pPr>
            <w:r w:rsidRPr="6F2F9FE7">
              <w:rPr>
                <w:rFonts w:ascii="Aptos" w:eastAsia="Aptos" w:hAnsi="Aptos" w:cs="Aptos"/>
                <w:b/>
                <w:bCs/>
              </w:rPr>
              <w:t xml:space="preserve">Clarifications </w:t>
            </w:r>
            <w:r w:rsidR="00BB3FDD">
              <w:rPr>
                <w:rFonts w:ascii="Aptos" w:eastAsia="Aptos" w:hAnsi="Aptos" w:cs="Aptos"/>
                <w:b/>
                <w:bCs/>
              </w:rPr>
              <w:t>4</w:t>
            </w:r>
          </w:p>
        </w:tc>
      </w:tr>
      <w:tr w:rsidR="6F2F9FE7" w14:paraId="152C14C4" w14:textId="77777777" w:rsidTr="002014CA">
        <w:trPr>
          <w:trHeight w:val="300"/>
        </w:trPr>
        <w:tc>
          <w:tcPr>
            <w:tcW w:w="535" w:type="dxa"/>
            <w:tcMar>
              <w:left w:w="105" w:type="dxa"/>
              <w:right w:w="105" w:type="dxa"/>
            </w:tcMar>
          </w:tcPr>
          <w:p w14:paraId="742A6141" w14:textId="42A53E60" w:rsidR="6F2F9FE7" w:rsidRDefault="6F2F9FE7" w:rsidP="6F2F9FE7">
            <w:pPr>
              <w:rPr>
                <w:rFonts w:ascii="Aptos" w:eastAsia="Aptos" w:hAnsi="Aptos" w:cs="Aptos"/>
              </w:rPr>
            </w:pPr>
          </w:p>
        </w:tc>
        <w:tc>
          <w:tcPr>
            <w:tcW w:w="4134" w:type="dxa"/>
            <w:tcMar>
              <w:left w:w="105" w:type="dxa"/>
              <w:right w:w="105" w:type="dxa"/>
            </w:tcMar>
          </w:tcPr>
          <w:p w14:paraId="4F481551" w14:textId="6FE3F647" w:rsidR="6F2F9FE7" w:rsidRDefault="6F2F9FE7" w:rsidP="6F2F9FE7">
            <w:pPr>
              <w:rPr>
                <w:rFonts w:ascii="Aptos" w:eastAsia="Aptos" w:hAnsi="Aptos" w:cs="Aptos"/>
              </w:rPr>
            </w:pPr>
            <w:r w:rsidRPr="6F2F9FE7">
              <w:rPr>
                <w:rFonts w:ascii="Aptos" w:eastAsia="Aptos" w:hAnsi="Aptos" w:cs="Aptos"/>
                <w:b/>
                <w:bCs/>
              </w:rPr>
              <w:t>Question</w:t>
            </w:r>
          </w:p>
        </w:tc>
        <w:tc>
          <w:tcPr>
            <w:tcW w:w="5246" w:type="dxa"/>
            <w:tcMar>
              <w:left w:w="105" w:type="dxa"/>
              <w:right w:w="105" w:type="dxa"/>
            </w:tcMar>
          </w:tcPr>
          <w:p w14:paraId="2AA72DE0" w14:textId="28CAD39C" w:rsidR="6F2F9FE7" w:rsidRDefault="6F2F9FE7" w:rsidP="6F2F9FE7">
            <w:pPr>
              <w:rPr>
                <w:rFonts w:ascii="Aptos" w:eastAsia="Aptos" w:hAnsi="Aptos" w:cs="Aptos"/>
              </w:rPr>
            </w:pPr>
            <w:r w:rsidRPr="6F2F9FE7">
              <w:rPr>
                <w:rFonts w:ascii="Aptos" w:eastAsia="Aptos" w:hAnsi="Aptos" w:cs="Aptos"/>
                <w:b/>
                <w:bCs/>
              </w:rPr>
              <w:t>HRB Response</w:t>
            </w:r>
          </w:p>
        </w:tc>
      </w:tr>
      <w:tr w:rsidR="002014CA" w14:paraId="13890D33" w14:textId="77777777" w:rsidTr="002014CA">
        <w:trPr>
          <w:trHeight w:val="300"/>
        </w:trPr>
        <w:tc>
          <w:tcPr>
            <w:tcW w:w="535" w:type="dxa"/>
            <w:tcMar>
              <w:left w:w="105" w:type="dxa"/>
              <w:right w:w="105" w:type="dxa"/>
            </w:tcMar>
          </w:tcPr>
          <w:p w14:paraId="397B84B9" w14:textId="346937EB" w:rsidR="002014CA" w:rsidRDefault="002014CA" w:rsidP="002014CA">
            <w:pPr>
              <w:rPr>
                <w:rFonts w:ascii="Aptos" w:eastAsia="Aptos" w:hAnsi="Aptos" w:cs="Aptos"/>
              </w:rPr>
            </w:pPr>
            <w:r w:rsidRPr="6F2F9FE7">
              <w:rPr>
                <w:rFonts w:ascii="Aptos" w:eastAsia="Aptos" w:hAnsi="Aptos" w:cs="Aptos"/>
              </w:rPr>
              <w:t>1.</w:t>
            </w:r>
          </w:p>
        </w:tc>
        <w:tc>
          <w:tcPr>
            <w:tcW w:w="4134" w:type="dxa"/>
            <w:tcMar>
              <w:left w:w="105" w:type="dxa"/>
              <w:right w:w="105" w:type="dxa"/>
            </w:tcMar>
          </w:tcPr>
          <w:p w14:paraId="3234C321" w14:textId="6A5D75BA" w:rsidR="002014CA" w:rsidRDefault="002014CA" w:rsidP="002014CA">
            <w:pPr>
              <w:rPr>
                <w:rFonts w:ascii="Aptos" w:eastAsia="Aptos" w:hAnsi="Aptos" w:cs="Aptos"/>
              </w:rPr>
            </w:pPr>
            <w:r w:rsidRPr="4B7393FA">
              <w:rPr>
                <w:rFonts w:ascii="Aptos" w:eastAsia="Aptos" w:hAnsi="Aptos" w:cs="Aptos"/>
              </w:rPr>
              <w:t>In relation to the Call-Off Contract, Part 5 – Remedies, the contract indemnifies the Client for “all and any losses”, including indirect and consequential losses, with no cap - would you be open to including a limitation of liability clause?</w:t>
            </w:r>
          </w:p>
        </w:tc>
        <w:tc>
          <w:tcPr>
            <w:tcW w:w="5246" w:type="dxa"/>
            <w:tcMar>
              <w:left w:w="105" w:type="dxa"/>
              <w:right w:w="105" w:type="dxa"/>
            </w:tcMar>
          </w:tcPr>
          <w:p w14:paraId="6D254EAD" w14:textId="1E7A48F3" w:rsidR="002014CA" w:rsidRDefault="002014CA" w:rsidP="002014CA">
            <w:pPr>
              <w:rPr>
                <w:rFonts w:ascii="Aptos" w:eastAsia="Aptos" w:hAnsi="Aptos" w:cs="Aptos"/>
              </w:rPr>
            </w:pPr>
            <w:r>
              <w:t xml:space="preserve">The HRB is willing to agree </w:t>
            </w:r>
            <w:r w:rsidRPr="03DB737E">
              <w:rPr>
                <w:rFonts w:ascii="Aptos" w:hAnsi="Aptos"/>
                <w:color w:val="000000" w:themeColor="text1"/>
              </w:rPr>
              <w:t xml:space="preserve">to a cap on liability </w:t>
            </w:r>
            <w:r>
              <w:rPr>
                <w:rFonts w:ascii="Aptos" w:hAnsi="Aptos"/>
                <w:color w:val="000000" w:themeColor="text1"/>
              </w:rPr>
              <w:t>which</w:t>
            </w:r>
            <w:r w:rsidRPr="03DB737E">
              <w:rPr>
                <w:rFonts w:ascii="Aptos" w:hAnsi="Aptos"/>
                <w:color w:val="000000" w:themeColor="text1"/>
              </w:rPr>
              <w:t xml:space="preserve"> will be agreed at contract stage</w:t>
            </w:r>
            <w:r>
              <w:rPr>
                <w:rFonts w:ascii="Aptos" w:hAnsi="Aptos"/>
                <w:color w:val="000000" w:themeColor="text1"/>
              </w:rPr>
              <w:t>.</w:t>
            </w:r>
          </w:p>
        </w:tc>
      </w:tr>
      <w:tr w:rsidR="002014CA" w14:paraId="09F676B6" w14:textId="77777777" w:rsidTr="002014CA">
        <w:trPr>
          <w:trHeight w:val="300"/>
        </w:trPr>
        <w:tc>
          <w:tcPr>
            <w:tcW w:w="535" w:type="dxa"/>
            <w:tcMar>
              <w:left w:w="105" w:type="dxa"/>
              <w:right w:w="105" w:type="dxa"/>
            </w:tcMar>
          </w:tcPr>
          <w:p w14:paraId="462C2F84" w14:textId="49D6282E" w:rsidR="002014CA" w:rsidRDefault="002014CA" w:rsidP="002014CA">
            <w:pPr>
              <w:rPr>
                <w:rFonts w:ascii="Aptos" w:eastAsia="Aptos" w:hAnsi="Aptos" w:cs="Aptos"/>
              </w:rPr>
            </w:pPr>
            <w:r w:rsidRPr="6F2F9FE7">
              <w:rPr>
                <w:rFonts w:ascii="Aptos" w:eastAsia="Aptos" w:hAnsi="Aptos" w:cs="Aptos"/>
              </w:rPr>
              <w:t>2.</w:t>
            </w:r>
          </w:p>
        </w:tc>
        <w:tc>
          <w:tcPr>
            <w:tcW w:w="4134" w:type="dxa"/>
            <w:tcMar>
              <w:left w:w="105" w:type="dxa"/>
              <w:right w:w="105" w:type="dxa"/>
            </w:tcMar>
          </w:tcPr>
          <w:p w14:paraId="14AC1C95" w14:textId="544D46BA" w:rsidR="002014CA" w:rsidRDefault="002014CA" w:rsidP="002014CA">
            <w:pPr>
              <w:tabs>
                <w:tab w:val="left" w:pos="1040"/>
              </w:tabs>
              <w:rPr>
                <w:rFonts w:ascii="Aptos" w:eastAsia="Aptos" w:hAnsi="Aptos" w:cs="Aptos"/>
              </w:rPr>
            </w:pPr>
            <w:r w:rsidRPr="004326DB">
              <w:rPr>
                <w:rFonts w:ascii="Aptos" w:eastAsia="Aptos" w:hAnsi="Aptos" w:cs="Aptos"/>
              </w:rPr>
              <w:t>We note the absence of a defined liability cap within the Framework Agreement, are you able to provide further definition on the cap please?</w:t>
            </w:r>
          </w:p>
        </w:tc>
        <w:tc>
          <w:tcPr>
            <w:tcW w:w="5246" w:type="dxa"/>
            <w:tcMar>
              <w:left w:w="105" w:type="dxa"/>
              <w:right w:w="105" w:type="dxa"/>
            </w:tcMar>
          </w:tcPr>
          <w:p w14:paraId="7B80EFAD" w14:textId="339F2D1B" w:rsidR="002014CA" w:rsidRDefault="002014CA" w:rsidP="002014CA">
            <w:pPr>
              <w:rPr>
                <w:rFonts w:ascii="Aptos" w:eastAsia="Aptos" w:hAnsi="Aptos" w:cs="Aptos"/>
              </w:rPr>
            </w:pPr>
            <w:r>
              <w:t xml:space="preserve">The HRB is willing to agree </w:t>
            </w:r>
            <w:r w:rsidRPr="03DB737E">
              <w:rPr>
                <w:rFonts w:ascii="Aptos" w:hAnsi="Aptos"/>
                <w:color w:val="000000" w:themeColor="text1"/>
              </w:rPr>
              <w:t xml:space="preserve">to a cap on liability </w:t>
            </w:r>
            <w:r>
              <w:rPr>
                <w:rFonts w:ascii="Aptos" w:hAnsi="Aptos"/>
                <w:color w:val="000000" w:themeColor="text1"/>
              </w:rPr>
              <w:t>which</w:t>
            </w:r>
            <w:r w:rsidRPr="03DB737E">
              <w:rPr>
                <w:rFonts w:ascii="Aptos" w:hAnsi="Aptos"/>
                <w:color w:val="000000" w:themeColor="text1"/>
              </w:rPr>
              <w:t xml:space="preserve"> will be agreed at contract stage</w:t>
            </w:r>
            <w:r>
              <w:rPr>
                <w:rFonts w:ascii="Aptos" w:hAnsi="Aptos"/>
                <w:color w:val="000000" w:themeColor="text1"/>
              </w:rPr>
              <w:t>.</w:t>
            </w:r>
          </w:p>
        </w:tc>
      </w:tr>
      <w:tr w:rsidR="002014CA" w14:paraId="013988F2" w14:textId="77777777" w:rsidTr="002014CA">
        <w:trPr>
          <w:trHeight w:val="300"/>
        </w:trPr>
        <w:tc>
          <w:tcPr>
            <w:tcW w:w="535" w:type="dxa"/>
            <w:tcMar>
              <w:left w:w="105" w:type="dxa"/>
              <w:right w:w="105" w:type="dxa"/>
            </w:tcMar>
          </w:tcPr>
          <w:p w14:paraId="3755570A" w14:textId="35FAA292" w:rsidR="002014CA" w:rsidRDefault="002014CA" w:rsidP="002014CA">
            <w:pPr>
              <w:rPr>
                <w:rFonts w:ascii="Aptos" w:eastAsia="Aptos" w:hAnsi="Aptos" w:cs="Aptos"/>
              </w:rPr>
            </w:pPr>
            <w:r w:rsidRPr="6F2F9FE7">
              <w:rPr>
                <w:rFonts w:ascii="Aptos" w:eastAsia="Aptos" w:hAnsi="Aptos" w:cs="Aptos"/>
              </w:rPr>
              <w:t>3.</w:t>
            </w:r>
          </w:p>
        </w:tc>
        <w:tc>
          <w:tcPr>
            <w:tcW w:w="4134" w:type="dxa"/>
            <w:tcMar>
              <w:left w:w="105" w:type="dxa"/>
              <w:right w:w="105" w:type="dxa"/>
            </w:tcMar>
          </w:tcPr>
          <w:p w14:paraId="06B51D89" w14:textId="7C922EFC" w:rsidR="002014CA" w:rsidRDefault="002014CA" w:rsidP="002014CA">
            <w:pPr>
              <w:rPr>
                <w:rFonts w:ascii="Aptos" w:eastAsia="Aptos" w:hAnsi="Aptos" w:cs="Aptos"/>
              </w:rPr>
            </w:pPr>
            <w:r w:rsidRPr="007B6E26">
              <w:rPr>
                <w:rFonts w:ascii="Aptos" w:eastAsia="Aptos" w:hAnsi="Aptos" w:cs="Aptos"/>
              </w:rPr>
              <w:t xml:space="preserve">Upon review of the contractual </w:t>
            </w:r>
            <w:proofErr w:type="gramStart"/>
            <w:r w:rsidRPr="007B6E26">
              <w:rPr>
                <w:rFonts w:ascii="Aptos" w:eastAsia="Aptos" w:hAnsi="Aptos" w:cs="Aptos"/>
              </w:rPr>
              <w:t>documents</w:t>
            </w:r>
            <w:proofErr w:type="gramEnd"/>
            <w:r w:rsidRPr="007B6E26">
              <w:rPr>
                <w:rFonts w:ascii="Aptos" w:eastAsia="Aptos" w:hAnsi="Aptos" w:cs="Aptos"/>
              </w:rPr>
              <w:t xml:space="preserve"> we note you have issued a bespoke framework agreement (‘Framework Agreement’) and an OGP service contract (‘Call Off Contract’</w:t>
            </w:r>
            <w:proofErr w:type="gramStart"/>
            <w:r w:rsidRPr="007B6E26">
              <w:rPr>
                <w:rFonts w:ascii="Aptos" w:eastAsia="Aptos" w:hAnsi="Aptos" w:cs="Aptos"/>
              </w:rPr>
              <w:t>) .</w:t>
            </w:r>
            <w:proofErr w:type="gramEnd"/>
            <w:r w:rsidRPr="007B6E26">
              <w:rPr>
                <w:rFonts w:ascii="Aptos" w:eastAsia="Aptos" w:hAnsi="Aptos" w:cs="Aptos"/>
              </w:rPr>
              <w:t xml:space="preserve"> When contracting on an OGP service contract we would expect same to be executed under the terms of a standard OGP framework agreement. Can you please explain why you have issued a bespoke framework agreement here and confirm whether you would consider re-issuing the framework agreement under the standard OGP framework agreement terms.</w:t>
            </w:r>
          </w:p>
        </w:tc>
        <w:tc>
          <w:tcPr>
            <w:tcW w:w="5246" w:type="dxa"/>
            <w:tcMar>
              <w:left w:w="105" w:type="dxa"/>
              <w:right w:w="105" w:type="dxa"/>
            </w:tcMar>
          </w:tcPr>
          <w:p w14:paraId="0F217302" w14:textId="77777777" w:rsidR="002014CA" w:rsidRPr="004E37AE" w:rsidRDefault="002014CA" w:rsidP="002014CA">
            <w:pPr>
              <w:rPr>
                <w:rFonts w:ascii="Aptos" w:eastAsia="Aptos" w:hAnsi="Aptos" w:cs="Aptos"/>
              </w:rPr>
            </w:pPr>
            <w:r w:rsidRPr="004E37AE">
              <w:rPr>
                <w:rFonts w:ascii="Aptos" w:eastAsia="Aptos" w:hAnsi="Aptos" w:cs="Aptos"/>
              </w:rPr>
              <w:t xml:space="preserve">The OGP do not issue a standardised Framework Agreement and instead instruct Contracting Authorities to develop their own. </w:t>
            </w:r>
          </w:p>
          <w:p w14:paraId="35C51A51" w14:textId="1145D824" w:rsidR="002014CA" w:rsidRDefault="002014CA" w:rsidP="002014CA">
            <w:pPr>
              <w:rPr>
                <w:rFonts w:ascii="Aptos" w:eastAsia="Aptos" w:hAnsi="Aptos" w:cs="Aptos"/>
              </w:rPr>
            </w:pPr>
            <w:r>
              <w:rPr>
                <w:rFonts w:ascii="Aptos" w:eastAsia="Aptos" w:hAnsi="Aptos" w:cs="Aptos"/>
              </w:rPr>
              <w:t>The Call-Off Contract used is the standard OGP Services Contract.</w:t>
            </w:r>
          </w:p>
        </w:tc>
      </w:tr>
      <w:tr w:rsidR="002014CA" w14:paraId="3E2A348D" w14:textId="77777777" w:rsidTr="002014CA">
        <w:trPr>
          <w:trHeight w:val="300"/>
        </w:trPr>
        <w:tc>
          <w:tcPr>
            <w:tcW w:w="535" w:type="dxa"/>
            <w:tcMar>
              <w:left w:w="105" w:type="dxa"/>
              <w:right w:w="105" w:type="dxa"/>
            </w:tcMar>
          </w:tcPr>
          <w:p w14:paraId="508CFBF5" w14:textId="5803DD90" w:rsidR="002014CA" w:rsidRDefault="002014CA" w:rsidP="002014CA">
            <w:pPr>
              <w:rPr>
                <w:rFonts w:ascii="Aptos" w:eastAsia="Aptos" w:hAnsi="Aptos" w:cs="Aptos"/>
              </w:rPr>
            </w:pPr>
            <w:r w:rsidRPr="6F2F9FE7">
              <w:rPr>
                <w:rFonts w:ascii="Aptos" w:eastAsia="Aptos" w:hAnsi="Aptos" w:cs="Aptos"/>
              </w:rPr>
              <w:t>4.</w:t>
            </w:r>
          </w:p>
        </w:tc>
        <w:tc>
          <w:tcPr>
            <w:tcW w:w="4134" w:type="dxa"/>
            <w:tcMar>
              <w:left w:w="105" w:type="dxa"/>
              <w:right w:w="105" w:type="dxa"/>
            </w:tcMar>
          </w:tcPr>
          <w:p w14:paraId="0E45742E" w14:textId="3F818A56" w:rsidR="002014CA" w:rsidRDefault="002014CA" w:rsidP="002014CA">
            <w:pPr>
              <w:rPr>
                <w:rFonts w:ascii="Aptos" w:eastAsia="Aptos" w:hAnsi="Aptos" w:cs="Aptos"/>
              </w:rPr>
            </w:pPr>
            <w:r w:rsidRPr="00983619">
              <w:rPr>
                <w:rFonts w:ascii="Aptos" w:eastAsia="Aptos" w:hAnsi="Aptos" w:cs="Aptos"/>
              </w:rPr>
              <w:t>Upon review of the call off contract we note it does not refer, in its recitals, to the framework agreement under which it would be executed. Further, the order of priority of the contractual documents (page 2 of the call off contract) does not refer to the framework agreement. Can you please explain why this is the case.</w:t>
            </w:r>
          </w:p>
        </w:tc>
        <w:tc>
          <w:tcPr>
            <w:tcW w:w="5246" w:type="dxa"/>
            <w:tcMar>
              <w:left w:w="105" w:type="dxa"/>
              <w:right w:w="105" w:type="dxa"/>
            </w:tcMar>
          </w:tcPr>
          <w:p w14:paraId="0DEC96CA" w14:textId="67A4D3FD" w:rsidR="002014CA" w:rsidRDefault="002014CA" w:rsidP="002014CA">
            <w:pPr>
              <w:rPr>
                <w:rFonts w:ascii="Aptos" w:eastAsia="Aptos" w:hAnsi="Aptos" w:cs="Aptos"/>
              </w:rPr>
            </w:pPr>
            <w:r>
              <w:rPr>
                <w:rFonts w:ascii="Aptos" w:eastAsia="Aptos" w:hAnsi="Aptos" w:cs="Aptos"/>
              </w:rPr>
              <w:t>We will ensure the framework agreement and the call off contract aligns at the time of contracting.</w:t>
            </w:r>
          </w:p>
        </w:tc>
      </w:tr>
      <w:tr w:rsidR="002014CA" w14:paraId="3FAAD48E" w14:textId="77777777" w:rsidTr="002014CA">
        <w:trPr>
          <w:trHeight w:val="300"/>
        </w:trPr>
        <w:tc>
          <w:tcPr>
            <w:tcW w:w="535" w:type="dxa"/>
            <w:tcMar>
              <w:left w:w="105" w:type="dxa"/>
              <w:right w:w="105" w:type="dxa"/>
            </w:tcMar>
          </w:tcPr>
          <w:p w14:paraId="32261385" w14:textId="71F21882" w:rsidR="002014CA" w:rsidRDefault="002014CA" w:rsidP="002014CA">
            <w:pPr>
              <w:rPr>
                <w:rFonts w:ascii="Aptos" w:eastAsia="Aptos" w:hAnsi="Aptos" w:cs="Aptos"/>
              </w:rPr>
            </w:pPr>
            <w:r w:rsidRPr="6F2F9FE7">
              <w:rPr>
                <w:rFonts w:ascii="Aptos" w:eastAsia="Aptos" w:hAnsi="Aptos" w:cs="Aptos"/>
              </w:rPr>
              <w:t>5.</w:t>
            </w:r>
          </w:p>
        </w:tc>
        <w:tc>
          <w:tcPr>
            <w:tcW w:w="4134" w:type="dxa"/>
            <w:tcMar>
              <w:left w:w="105" w:type="dxa"/>
              <w:right w:w="105" w:type="dxa"/>
            </w:tcMar>
          </w:tcPr>
          <w:p w14:paraId="565EC0A5" w14:textId="39658D71" w:rsidR="002014CA" w:rsidRDefault="002014CA" w:rsidP="002014CA">
            <w:pPr>
              <w:rPr>
                <w:rFonts w:ascii="Aptos" w:eastAsia="Aptos" w:hAnsi="Aptos" w:cs="Aptos"/>
              </w:rPr>
            </w:pPr>
            <w:r w:rsidRPr="00983619">
              <w:rPr>
                <w:rFonts w:ascii="Aptos" w:eastAsia="Aptos" w:hAnsi="Aptos" w:cs="Aptos"/>
              </w:rPr>
              <w:t xml:space="preserve">Referring to Definitions in the call off contract, you’ve included a definition of ‘Call Off Contract’ and ‘Contract’. Can you please explain why a definition of ‘Contract is required’. </w:t>
            </w:r>
            <w:r w:rsidRPr="00983619">
              <w:rPr>
                <w:rFonts w:ascii="Aptos" w:eastAsia="Aptos" w:hAnsi="Aptos" w:cs="Aptos"/>
              </w:rPr>
              <w:lastRenderedPageBreak/>
              <w:t>Based on our understanding of how the framework agreement operates you would only award call off contracts under its terms, saving the need for a separate definition of ‘Contract’.</w:t>
            </w:r>
          </w:p>
        </w:tc>
        <w:tc>
          <w:tcPr>
            <w:tcW w:w="5246" w:type="dxa"/>
            <w:tcMar>
              <w:left w:w="105" w:type="dxa"/>
              <w:right w:w="105" w:type="dxa"/>
            </w:tcMar>
          </w:tcPr>
          <w:p w14:paraId="7B80E1E1" w14:textId="07EFFD8C" w:rsidR="002014CA" w:rsidRDefault="002014CA" w:rsidP="002014CA">
            <w:pPr>
              <w:rPr>
                <w:rFonts w:ascii="Aptos" w:eastAsia="Aptos" w:hAnsi="Aptos" w:cs="Aptos"/>
              </w:rPr>
            </w:pPr>
            <w:r>
              <w:rPr>
                <w:rFonts w:ascii="Aptos" w:eastAsia="Aptos" w:hAnsi="Aptos" w:cs="Aptos"/>
              </w:rPr>
              <w:lastRenderedPageBreak/>
              <w:t>We will ensure the framework agreement and the call off contract aligns at the time of contracting.</w:t>
            </w:r>
          </w:p>
        </w:tc>
      </w:tr>
      <w:tr w:rsidR="002014CA" w14:paraId="31CAC050" w14:textId="77777777" w:rsidTr="002014CA">
        <w:trPr>
          <w:trHeight w:val="300"/>
        </w:trPr>
        <w:tc>
          <w:tcPr>
            <w:tcW w:w="535" w:type="dxa"/>
            <w:tcMar>
              <w:left w:w="105" w:type="dxa"/>
              <w:right w:w="105" w:type="dxa"/>
            </w:tcMar>
          </w:tcPr>
          <w:p w14:paraId="1A8BF3F2" w14:textId="67B85C55" w:rsidR="002014CA" w:rsidRDefault="002014CA" w:rsidP="002014CA">
            <w:pPr>
              <w:rPr>
                <w:rFonts w:ascii="Aptos" w:eastAsia="Aptos" w:hAnsi="Aptos" w:cs="Aptos"/>
              </w:rPr>
            </w:pPr>
            <w:r w:rsidRPr="6F2F9FE7">
              <w:rPr>
                <w:rFonts w:ascii="Aptos" w:eastAsia="Aptos" w:hAnsi="Aptos" w:cs="Aptos"/>
              </w:rPr>
              <w:t>6.</w:t>
            </w:r>
          </w:p>
        </w:tc>
        <w:tc>
          <w:tcPr>
            <w:tcW w:w="4134" w:type="dxa"/>
            <w:tcMar>
              <w:left w:w="105" w:type="dxa"/>
              <w:right w:w="105" w:type="dxa"/>
            </w:tcMar>
          </w:tcPr>
          <w:p w14:paraId="21F90B58" w14:textId="1CDEA101" w:rsidR="002014CA" w:rsidRDefault="002014CA" w:rsidP="002014CA">
            <w:pPr>
              <w:rPr>
                <w:rFonts w:ascii="Aptos" w:eastAsia="Aptos" w:hAnsi="Aptos" w:cs="Aptos"/>
              </w:rPr>
            </w:pPr>
            <w:r>
              <w:rPr>
                <w:rFonts w:ascii="Aptos" w:eastAsia="Aptos" w:hAnsi="Aptos" w:cs="Aptos"/>
              </w:rPr>
              <w:t>I</w:t>
            </w:r>
            <w:r w:rsidRPr="001139DA">
              <w:rPr>
                <w:rFonts w:ascii="Aptos" w:eastAsia="Aptos" w:hAnsi="Aptos" w:cs="Aptos"/>
              </w:rPr>
              <w:t>t states that multiple payment profile templates can be applied in the system at call level, e.g. distributed evenly across lifetime of award, distributed over lifetime with a gap year etc. Are these different?</w:t>
            </w:r>
          </w:p>
        </w:tc>
        <w:tc>
          <w:tcPr>
            <w:tcW w:w="5246" w:type="dxa"/>
            <w:tcMar>
              <w:left w:w="105" w:type="dxa"/>
              <w:right w:w="105" w:type="dxa"/>
            </w:tcMar>
          </w:tcPr>
          <w:p w14:paraId="23D35F3C" w14:textId="77777777" w:rsidR="002014CA" w:rsidRDefault="002014CA" w:rsidP="002014CA">
            <w:pPr>
              <w:rPr>
                <w:rFonts w:ascii="Aptos" w:eastAsia="Aptos" w:hAnsi="Aptos" w:cs="Aptos"/>
              </w:rPr>
            </w:pPr>
            <w:r w:rsidRPr="30023882">
              <w:rPr>
                <w:rFonts w:ascii="Aptos" w:eastAsia="Aptos" w:hAnsi="Aptos" w:cs="Aptos"/>
              </w:rPr>
              <w:t>Yes, these are different. An example would be a 3-year contract for €300k. Payment could be:</w:t>
            </w:r>
          </w:p>
          <w:p w14:paraId="7EF9394A" w14:textId="77777777" w:rsidR="002014CA" w:rsidRDefault="002014CA" w:rsidP="002014CA">
            <w:pPr>
              <w:rPr>
                <w:rFonts w:ascii="Aptos" w:eastAsia="Aptos" w:hAnsi="Aptos" w:cs="Aptos"/>
              </w:rPr>
            </w:pPr>
            <w:r w:rsidRPr="30023882">
              <w:rPr>
                <w:rFonts w:ascii="Aptos" w:eastAsia="Aptos" w:hAnsi="Aptos" w:cs="Aptos"/>
              </w:rPr>
              <w:t xml:space="preserve">Y1: €100k, Y2: €100k, </w:t>
            </w:r>
            <w:r>
              <w:rPr>
                <w:rFonts w:ascii="Aptos" w:eastAsia="Aptos" w:hAnsi="Aptos" w:cs="Aptos"/>
              </w:rPr>
              <w:t>Y</w:t>
            </w:r>
            <w:r w:rsidRPr="30023882">
              <w:rPr>
                <w:rFonts w:ascii="Aptos" w:eastAsia="Aptos" w:hAnsi="Aptos" w:cs="Aptos"/>
              </w:rPr>
              <w:t>3: €100k OR</w:t>
            </w:r>
          </w:p>
          <w:p w14:paraId="3A17CA70" w14:textId="77777777" w:rsidR="002014CA" w:rsidRDefault="002014CA" w:rsidP="002014CA">
            <w:pPr>
              <w:rPr>
                <w:rFonts w:ascii="Aptos" w:eastAsia="Aptos" w:hAnsi="Aptos" w:cs="Aptos"/>
              </w:rPr>
            </w:pPr>
            <w:r w:rsidRPr="30023882">
              <w:rPr>
                <w:rFonts w:ascii="Aptos" w:eastAsia="Aptos" w:hAnsi="Aptos" w:cs="Aptos"/>
              </w:rPr>
              <w:t>Y1: €100k, Y2: €0k, 3: €100</w:t>
            </w:r>
            <w:r>
              <w:rPr>
                <w:rFonts w:ascii="Aptos" w:eastAsia="Aptos" w:hAnsi="Aptos" w:cs="Aptos"/>
              </w:rPr>
              <w:t>k</w:t>
            </w:r>
            <w:r w:rsidRPr="30023882">
              <w:rPr>
                <w:rFonts w:ascii="Aptos" w:eastAsia="Aptos" w:hAnsi="Aptos" w:cs="Aptos"/>
              </w:rPr>
              <w:t>, Y4: €100k OR</w:t>
            </w:r>
          </w:p>
          <w:p w14:paraId="3DBDFC96" w14:textId="77777777" w:rsidR="002014CA" w:rsidRDefault="002014CA" w:rsidP="002014CA">
            <w:pPr>
              <w:rPr>
                <w:rFonts w:ascii="Aptos" w:eastAsia="Aptos" w:hAnsi="Aptos" w:cs="Aptos"/>
              </w:rPr>
            </w:pPr>
            <w:r>
              <w:rPr>
                <w:rFonts w:ascii="Aptos" w:eastAsia="Aptos" w:hAnsi="Aptos" w:cs="Aptos"/>
              </w:rPr>
              <w:t>v</w:t>
            </w:r>
            <w:r w:rsidRPr="30023882">
              <w:rPr>
                <w:rFonts w:ascii="Aptos" w:eastAsia="Aptos" w:hAnsi="Aptos" w:cs="Aptos"/>
              </w:rPr>
              <w:t>arying amounts each year, with and without gap year, as determined e.g. by the application budget</w:t>
            </w:r>
          </w:p>
          <w:p w14:paraId="0020F6BC" w14:textId="27697C01" w:rsidR="002014CA" w:rsidRDefault="002014CA" w:rsidP="002014CA">
            <w:pPr>
              <w:rPr>
                <w:rFonts w:ascii="Aptos" w:eastAsia="Aptos" w:hAnsi="Aptos" w:cs="Aptos"/>
              </w:rPr>
            </w:pPr>
          </w:p>
        </w:tc>
      </w:tr>
      <w:tr w:rsidR="002014CA" w14:paraId="60136F01" w14:textId="77777777" w:rsidTr="002014CA">
        <w:trPr>
          <w:trHeight w:val="300"/>
        </w:trPr>
        <w:tc>
          <w:tcPr>
            <w:tcW w:w="535" w:type="dxa"/>
            <w:tcMar>
              <w:left w:w="105" w:type="dxa"/>
              <w:right w:w="105" w:type="dxa"/>
            </w:tcMar>
          </w:tcPr>
          <w:p w14:paraId="487A59AF" w14:textId="5534017D" w:rsidR="002014CA" w:rsidRDefault="002014CA" w:rsidP="002014CA">
            <w:pPr>
              <w:rPr>
                <w:rFonts w:ascii="Aptos" w:eastAsia="Aptos" w:hAnsi="Aptos" w:cs="Aptos"/>
              </w:rPr>
            </w:pPr>
            <w:r w:rsidRPr="4DA895AC">
              <w:rPr>
                <w:rFonts w:ascii="Aptos" w:eastAsia="Aptos" w:hAnsi="Aptos" w:cs="Aptos"/>
              </w:rPr>
              <w:t>7.</w:t>
            </w:r>
          </w:p>
        </w:tc>
        <w:tc>
          <w:tcPr>
            <w:tcW w:w="4134" w:type="dxa"/>
            <w:tcMar>
              <w:left w:w="105" w:type="dxa"/>
              <w:right w:w="105" w:type="dxa"/>
            </w:tcMar>
          </w:tcPr>
          <w:p w14:paraId="69A572B3" w14:textId="3C8FCE6D" w:rsidR="002014CA" w:rsidRDefault="002014CA" w:rsidP="002014CA">
            <w:pPr>
              <w:rPr>
                <w:rFonts w:ascii="Aptos" w:eastAsia="Aptos" w:hAnsi="Aptos" w:cs="Aptos"/>
              </w:rPr>
            </w:pPr>
            <w:r w:rsidRPr="001139DA">
              <w:rPr>
                <w:rFonts w:ascii="Aptos" w:eastAsia="Aptos" w:hAnsi="Aptos" w:cs="Aptos"/>
              </w:rPr>
              <w:t>What is the expected number of monthly active external users (PIs, Reviewers, Host Institutions) that HRB anticipates will log in to the system? Are there specific peak periods during the year when user activity is expected to be higher, such as during grant application deadlines or reporting periods?</w:t>
            </w:r>
          </w:p>
        </w:tc>
        <w:tc>
          <w:tcPr>
            <w:tcW w:w="5246" w:type="dxa"/>
            <w:tcMar>
              <w:left w:w="105" w:type="dxa"/>
              <w:right w:w="105" w:type="dxa"/>
            </w:tcMar>
          </w:tcPr>
          <w:p w14:paraId="73EEED75" w14:textId="77777777" w:rsidR="002014CA" w:rsidRDefault="002014CA" w:rsidP="002014CA">
            <w:pPr>
              <w:rPr>
                <w:rFonts w:ascii="Aptos" w:eastAsia="Aptos" w:hAnsi="Aptos" w:cs="Aptos"/>
              </w:rPr>
            </w:pPr>
            <w:r w:rsidRPr="30023882">
              <w:rPr>
                <w:rFonts w:ascii="Aptos" w:eastAsia="Aptos" w:hAnsi="Aptos" w:cs="Aptos"/>
              </w:rPr>
              <w:t xml:space="preserve">The number of external users will fluctuate significantly, particularly where annual reports, application deadlines and review processes of high-volume schemes overlap. This is not always the same time of year. </w:t>
            </w:r>
          </w:p>
          <w:p w14:paraId="301894BF" w14:textId="77777777" w:rsidR="002014CA" w:rsidRDefault="002014CA" w:rsidP="002014CA">
            <w:pPr>
              <w:rPr>
                <w:rFonts w:ascii="Aptos" w:eastAsia="Aptos" w:hAnsi="Aptos" w:cs="Aptos"/>
              </w:rPr>
            </w:pPr>
          </w:p>
          <w:p w14:paraId="5E11C772" w14:textId="3A0F24F3" w:rsidR="002014CA" w:rsidRDefault="002014CA" w:rsidP="002014CA">
            <w:pPr>
              <w:rPr>
                <w:rFonts w:ascii="Aptos" w:eastAsia="Aptos" w:hAnsi="Aptos" w:cs="Aptos"/>
              </w:rPr>
            </w:pPr>
            <w:r w:rsidRPr="30023882">
              <w:rPr>
                <w:rFonts w:ascii="Aptos" w:eastAsia="Aptos" w:hAnsi="Aptos" w:cs="Aptos"/>
              </w:rPr>
              <w:t>We would expect a maximum of around 1,500 external users in a month, with numbers lower for most of the year.</w:t>
            </w:r>
          </w:p>
        </w:tc>
      </w:tr>
      <w:tr w:rsidR="002014CA" w14:paraId="74511A5F" w14:textId="77777777" w:rsidTr="002014CA">
        <w:trPr>
          <w:trHeight w:val="300"/>
        </w:trPr>
        <w:tc>
          <w:tcPr>
            <w:tcW w:w="535" w:type="dxa"/>
            <w:tcMar>
              <w:left w:w="105" w:type="dxa"/>
              <w:right w:w="105" w:type="dxa"/>
            </w:tcMar>
          </w:tcPr>
          <w:p w14:paraId="1110EECE" w14:textId="12FAD5BD" w:rsidR="002014CA" w:rsidRPr="4DA895AC" w:rsidRDefault="002014CA" w:rsidP="002014CA">
            <w:pPr>
              <w:rPr>
                <w:rFonts w:ascii="Aptos" w:eastAsia="Aptos" w:hAnsi="Aptos" w:cs="Aptos"/>
              </w:rPr>
            </w:pPr>
            <w:r>
              <w:rPr>
                <w:rFonts w:ascii="Aptos" w:eastAsia="Aptos" w:hAnsi="Aptos" w:cs="Aptos"/>
              </w:rPr>
              <w:t>8.</w:t>
            </w:r>
          </w:p>
        </w:tc>
        <w:tc>
          <w:tcPr>
            <w:tcW w:w="4134" w:type="dxa"/>
            <w:tcMar>
              <w:left w:w="105" w:type="dxa"/>
              <w:right w:w="105" w:type="dxa"/>
            </w:tcMar>
          </w:tcPr>
          <w:p w14:paraId="51A60936" w14:textId="720955A4" w:rsidR="002014CA" w:rsidRDefault="002014CA" w:rsidP="002014CA">
            <w:pPr>
              <w:rPr>
                <w:rFonts w:ascii="Aptos" w:eastAsia="Aptos" w:hAnsi="Aptos" w:cs="Aptos"/>
              </w:rPr>
            </w:pPr>
            <w:r w:rsidRPr="001139DA">
              <w:rPr>
                <w:rFonts w:ascii="Aptos" w:eastAsia="Aptos" w:hAnsi="Aptos" w:cs="Aptos"/>
              </w:rPr>
              <w:t>What are your retention policies (e.g. keep application data for 7 years, then purge)? And should the system auto-delete or just flag data for deletion upon approval? Clarifying this will help us to configure archiving/cleanup rules.</w:t>
            </w:r>
          </w:p>
        </w:tc>
        <w:tc>
          <w:tcPr>
            <w:tcW w:w="5246" w:type="dxa"/>
            <w:tcMar>
              <w:left w:w="105" w:type="dxa"/>
              <w:right w:w="105" w:type="dxa"/>
            </w:tcMar>
          </w:tcPr>
          <w:p w14:paraId="6B276CD6" w14:textId="77777777" w:rsidR="002014CA" w:rsidRDefault="002014CA" w:rsidP="002014CA">
            <w:pPr>
              <w:rPr>
                <w:rFonts w:ascii="Aptos" w:eastAsia="Aptos" w:hAnsi="Aptos" w:cs="Aptos"/>
              </w:rPr>
            </w:pPr>
            <w:r w:rsidRPr="30023882">
              <w:rPr>
                <w:rFonts w:ascii="Aptos" w:eastAsia="Aptos" w:hAnsi="Aptos" w:cs="Aptos"/>
              </w:rPr>
              <w:t>Our retention schedule for grants is end of grant plus 20 years. Retention of unsuccessful applications is 1 year after Board decision.</w:t>
            </w:r>
          </w:p>
          <w:p w14:paraId="62873C1C" w14:textId="77777777" w:rsidR="002014CA" w:rsidRDefault="002014CA" w:rsidP="002014CA">
            <w:pPr>
              <w:rPr>
                <w:rFonts w:ascii="Aptos" w:eastAsia="Aptos" w:hAnsi="Aptos" w:cs="Aptos"/>
              </w:rPr>
            </w:pPr>
          </w:p>
          <w:p w14:paraId="7919ED70" w14:textId="77777777" w:rsidR="002014CA" w:rsidRDefault="002014CA" w:rsidP="002014CA">
            <w:pPr>
              <w:rPr>
                <w:rFonts w:ascii="Aptos" w:eastAsia="Aptos" w:hAnsi="Aptos" w:cs="Aptos"/>
              </w:rPr>
            </w:pPr>
            <w:r w:rsidRPr="30023882">
              <w:rPr>
                <w:rFonts w:ascii="Aptos" w:eastAsia="Aptos" w:hAnsi="Aptos" w:cs="Aptos"/>
              </w:rPr>
              <w:t>We are in the process of determining retention periods for contacts who are not associated with a grant (e.g. invited reviewers who did not provide a review).</w:t>
            </w:r>
          </w:p>
          <w:p w14:paraId="72B6D7C6" w14:textId="77777777" w:rsidR="002014CA" w:rsidRDefault="002014CA" w:rsidP="002014CA">
            <w:pPr>
              <w:rPr>
                <w:rFonts w:ascii="Aptos" w:eastAsia="Aptos" w:hAnsi="Aptos" w:cs="Aptos"/>
              </w:rPr>
            </w:pPr>
          </w:p>
          <w:p w14:paraId="69BC352E" w14:textId="6B80AAF5" w:rsidR="002014CA" w:rsidRDefault="002014CA" w:rsidP="002014CA">
            <w:pPr>
              <w:rPr>
                <w:rFonts w:ascii="Aptos" w:eastAsia="Aptos" w:hAnsi="Aptos" w:cs="Aptos"/>
              </w:rPr>
            </w:pPr>
            <w:r w:rsidRPr="30023882">
              <w:rPr>
                <w:rFonts w:ascii="Aptos" w:eastAsia="Aptos" w:hAnsi="Aptos" w:cs="Aptos"/>
              </w:rPr>
              <w:t>The system should flag data for deletion, with approval required.</w:t>
            </w:r>
          </w:p>
        </w:tc>
      </w:tr>
      <w:tr w:rsidR="002014CA" w14:paraId="36DD7972" w14:textId="77777777" w:rsidTr="002014CA">
        <w:trPr>
          <w:trHeight w:val="300"/>
        </w:trPr>
        <w:tc>
          <w:tcPr>
            <w:tcW w:w="535" w:type="dxa"/>
            <w:tcMar>
              <w:left w:w="105" w:type="dxa"/>
              <w:right w:w="105" w:type="dxa"/>
            </w:tcMar>
          </w:tcPr>
          <w:p w14:paraId="6253D9E9" w14:textId="11A214CB" w:rsidR="002014CA" w:rsidRPr="4DA895AC" w:rsidRDefault="002014CA" w:rsidP="002014CA">
            <w:pPr>
              <w:rPr>
                <w:rFonts w:ascii="Aptos" w:eastAsia="Aptos" w:hAnsi="Aptos" w:cs="Aptos"/>
              </w:rPr>
            </w:pPr>
            <w:r>
              <w:rPr>
                <w:rFonts w:ascii="Aptos" w:eastAsia="Aptos" w:hAnsi="Aptos" w:cs="Aptos"/>
              </w:rPr>
              <w:t>9.</w:t>
            </w:r>
          </w:p>
        </w:tc>
        <w:tc>
          <w:tcPr>
            <w:tcW w:w="4134" w:type="dxa"/>
            <w:tcMar>
              <w:left w:w="105" w:type="dxa"/>
              <w:right w:w="105" w:type="dxa"/>
            </w:tcMar>
          </w:tcPr>
          <w:p w14:paraId="45DBA70C" w14:textId="422B65BA" w:rsidR="002014CA" w:rsidRDefault="002014CA" w:rsidP="002014CA">
            <w:pPr>
              <w:rPr>
                <w:rFonts w:ascii="Aptos" w:eastAsia="Aptos" w:hAnsi="Aptos" w:cs="Aptos"/>
              </w:rPr>
            </w:pPr>
            <w:r w:rsidRPr="00757596">
              <w:rPr>
                <w:rFonts w:ascii="Aptos" w:eastAsia="Aptos" w:hAnsi="Aptos" w:cs="Aptos"/>
              </w:rPr>
              <w:t>In relation to offline portal functionality for areas with limited connectivity, can you please elaborate on the offline scenarios, i.e. who would use it (researchers in the field, reviewers on flights, etc)?</w:t>
            </w:r>
          </w:p>
        </w:tc>
        <w:tc>
          <w:tcPr>
            <w:tcW w:w="5246" w:type="dxa"/>
            <w:tcMar>
              <w:left w:w="105" w:type="dxa"/>
              <w:right w:w="105" w:type="dxa"/>
            </w:tcMar>
          </w:tcPr>
          <w:p w14:paraId="16A44450" w14:textId="15EA59A1" w:rsidR="002014CA" w:rsidRDefault="002014CA" w:rsidP="002014CA">
            <w:pPr>
              <w:rPr>
                <w:rFonts w:ascii="Aptos" w:eastAsia="Aptos" w:hAnsi="Aptos" w:cs="Aptos"/>
              </w:rPr>
            </w:pPr>
            <w:r w:rsidRPr="30023882">
              <w:rPr>
                <w:rFonts w:ascii="Aptos" w:eastAsia="Aptos" w:hAnsi="Aptos" w:cs="Aptos"/>
              </w:rPr>
              <w:t>Primarily researchers and reviewers during travel, or in areas with poor connectivity.</w:t>
            </w:r>
          </w:p>
        </w:tc>
      </w:tr>
      <w:tr w:rsidR="002014CA" w14:paraId="59385824" w14:textId="77777777" w:rsidTr="002014CA">
        <w:trPr>
          <w:trHeight w:val="300"/>
        </w:trPr>
        <w:tc>
          <w:tcPr>
            <w:tcW w:w="535" w:type="dxa"/>
            <w:tcMar>
              <w:left w:w="105" w:type="dxa"/>
              <w:right w:w="105" w:type="dxa"/>
            </w:tcMar>
          </w:tcPr>
          <w:p w14:paraId="7E11A14F" w14:textId="3770D28B" w:rsidR="002014CA" w:rsidRPr="4DA895AC" w:rsidRDefault="002014CA" w:rsidP="002014CA">
            <w:pPr>
              <w:rPr>
                <w:rFonts w:ascii="Aptos" w:eastAsia="Aptos" w:hAnsi="Aptos" w:cs="Aptos"/>
              </w:rPr>
            </w:pPr>
            <w:r>
              <w:rPr>
                <w:rFonts w:ascii="Aptos" w:eastAsia="Aptos" w:hAnsi="Aptos" w:cs="Aptos"/>
              </w:rPr>
              <w:t>10.</w:t>
            </w:r>
          </w:p>
        </w:tc>
        <w:tc>
          <w:tcPr>
            <w:tcW w:w="4134" w:type="dxa"/>
            <w:tcMar>
              <w:left w:w="105" w:type="dxa"/>
              <w:right w:w="105" w:type="dxa"/>
            </w:tcMar>
          </w:tcPr>
          <w:p w14:paraId="05664BAA" w14:textId="5A7D2CC9" w:rsidR="002014CA" w:rsidRDefault="002014CA" w:rsidP="002014CA">
            <w:pPr>
              <w:rPr>
                <w:rFonts w:ascii="Aptos" w:eastAsia="Aptos" w:hAnsi="Aptos" w:cs="Aptos"/>
              </w:rPr>
            </w:pPr>
            <w:r w:rsidRPr="00195E93">
              <w:rPr>
                <w:rFonts w:ascii="Aptos" w:eastAsia="Aptos" w:hAnsi="Aptos" w:cs="Aptos"/>
              </w:rPr>
              <w:t xml:space="preserve">Do you have </w:t>
            </w:r>
            <w:proofErr w:type="gramStart"/>
            <w:r w:rsidRPr="00195E93">
              <w:rPr>
                <w:rFonts w:ascii="Aptos" w:eastAsia="Aptos" w:hAnsi="Aptos" w:cs="Aptos"/>
              </w:rPr>
              <w:t>particular limits</w:t>
            </w:r>
            <w:proofErr w:type="gramEnd"/>
            <w:r w:rsidRPr="00195E93">
              <w:rPr>
                <w:rFonts w:ascii="Aptos" w:eastAsia="Aptos" w:hAnsi="Aptos" w:cs="Aptos"/>
              </w:rPr>
              <w:t xml:space="preserve"> in mind for file sizes, e.g. no single file greater than 20MB, only PDF/docx allowed for certain uploads etc? We will configure acceptance rules. Also, approximately how many attachments do you expect per </w:t>
            </w:r>
            <w:r w:rsidRPr="00195E93">
              <w:rPr>
                <w:rFonts w:ascii="Aptos" w:eastAsia="Aptos" w:hAnsi="Aptos" w:cs="Aptos"/>
              </w:rPr>
              <w:lastRenderedPageBreak/>
              <w:t>application or report? If very large or many, we might need to ensure performance (possibly storing in SharePoint as mentioned).</w:t>
            </w:r>
          </w:p>
        </w:tc>
        <w:tc>
          <w:tcPr>
            <w:tcW w:w="5246" w:type="dxa"/>
            <w:tcMar>
              <w:left w:w="105" w:type="dxa"/>
              <w:right w:w="105" w:type="dxa"/>
            </w:tcMar>
          </w:tcPr>
          <w:p w14:paraId="0F2BF6CF" w14:textId="77777777" w:rsidR="002014CA" w:rsidRDefault="002014CA" w:rsidP="002014CA">
            <w:pPr>
              <w:rPr>
                <w:rFonts w:ascii="Aptos" w:eastAsia="Aptos" w:hAnsi="Aptos" w:cs="Aptos"/>
              </w:rPr>
            </w:pPr>
            <w:r>
              <w:rPr>
                <w:rFonts w:ascii="Aptos" w:eastAsia="Aptos" w:hAnsi="Aptos" w:cs="Aptos"/>
              </w:rPr>
              <w:lastRenderedPageBreak/>
              <w:t xml:space="preserve">Currently, each uploaded document has a size limit of 2MB, which we would like to increase. The highest number of uploaded documents for one application has been 63. </w:t>
            </w:r>
          </w:p>
          <w:p w14:paraId="24A82A3C" w14:textId="77777777" w:rsidR="002014CA" w:rsidRDefault="002014CA" w:rsidP="002014CA">
            <w:pPr>
              <w:rPr>
                <w:rFonts w:ascii="Aptos" w:eastAsia="Aptos" w:hAnsi="Aptos" w:cs="Aptos"/>
              </w:rPr>
            </w:pPr>
          </w:p>
          <w:p w14:paraId="6268FAC3" w14:textId="77777777" w:rsidR="002014CA" w:rsidRDefault="002014CA" w:rsidP="002014CA">
            <w:pPr>
              <w:rPr>
                <w:rFonts w:ascii="Aptos" w:eastAsia="Aptos" w:hAnsi="Aptos" w:cs="Aptos"/>
              </w:rPr>
            </w:pPr>
            <w:r>
              <w:rPr>
                <w:rFonts w:ascii="Aptos" w:eastAsia="Aptos" w:hAnsi="Aptos" w:cs="Aptos"/>
              </w:rPr>
              <w:t xml:space="preserve">The biggest single application received has been 124MB, including 63 uploaded documents. The </w:t>
            </w:r>
            <w:r>
              <w:rPr>
                <w:rFonts w:ascii="Aptos" w:eastAsia="Aptos" w:hAnsi="Aptos" w:cs="Aptos"/>
              </w:rPr>
              <w:lastRenderedPageBreak/>
              <w:t>second biggest was 30MB, and typical sizes are 5MB or below.</w:t>
            </w:r>
          </w:p>
          <w:p w14:paraId="7069092B" w14:textId="77777777" w:rsidR="002014CA" w:rsidRDefault="002014CA" w:rsidP="002014CA">
            <w:pPr>
              <w:rPr>
                <w:rFonts w:ascii="Aptos" w:eastAsia="Aptos" w:hAnsi="Aptos" w:cs="Aptos"/>
              </w:rPr>
            </w:pPr>
          </w:p>
          <w:p w14:paraId="089199E8" w14:textId="77777777" w:rsidR="002014CA" w:rsidRDefault="002014CA" w:rsidP="002014CA">
            <w:pPr>
              <w:rPr>
                <w:rFonts w:ascii="Aptos" w:eastAsia="Aptos" w:hAnsi="Aptos" w:cs="Aptos"/>
              </w:rPr>
            </w:pPr>
            <w:r w:rsidRPr="00BE767E">
              <w:rPr>
                <w:rFonts w:ascii="Aptos" w:eastAsia="Aptos" w:hAnsi="Aptos" w:cs="Aptos"/>
              </w:rPr>
              <w:t>We</w:t>
            </w:r>
            <w:r>
              <w:rPr>
                <w:rFonts w:ascii="Aptos" w:eastAsia="Aptos" w:hAnsi="Aptos" w:cs="Aptos"/>
              </w:rPr>
              <w:t xml:space="preserve"> would</w:t>
            </w:r>
            <w:r w:rsidRPr="00BE767E">
              <w:rPr>
                <w:rFonts w:ascii="Aptos" w:eastAsia="Aptos" w:hAnsi="Aptos" w:cs="Aptos"/>
              </w:rPr>
              <w:t xml:space="preserve"> typically</w:t>
            </w:r>
            <w:r>
              <w:rPr>
                <w:rFonts w:ascii="Aptos" w:eastAsia="Aptos" w:hAnsi="Aptos" w:cs="Aptos"/>
              </w:rPr>
              <w:t xml:space="preserve"> like to allow only .</w:t>
            </w:r>
            <w:r w:rsidRPr="00AB2D7F">
              <w:rPr>
                <w:rFonts w:ascii="Aptos" w:eastAsia="Aptos" w:hAnsi="Aptos" w:cs="Aptos"/>
                <w:b/>
                <w:bCs/>
              </w:rPr>
              <w:t xml:space="preserve">DOC .DOCX .XLS .XLSX </w:t>
            </w:r>
            <w:r w:rsidRPr="00B458FD">
              <w:rPr>
                <w:rFonts w:ascii="Aptos" w:eastAsia="Aptos" w:hAnsi="Aptos" w:cs="Aptos"/>
              </w:rPr>
              <w:t>and</w:t>
            </w:r>
            <w:r>
              <w:rPr>
                <w:rFonts w:ascii="Aptos" w:eastAsia="Aptos" w:hAnsi="Aptos" w:cs="Aptos"/>
                <w:b/>
                <w:bCs/>
              </w:rPr>
              <w:t xml:space="preserve"> </w:t>
            </w:r>
            <w:r w:rsidRPr="00AB2D7F">
              <w:rPr>
                <w:rFonts w:ascii="Aptos" w:eastAsia="Aptos" w:hAnsi="Aptos" w:cs="Aptos"/>
                <w:b/>
                <w:bCs/>
              </w:rPr>
              <w:t>.PDF</w:t>
            </w:r>
            <w:r>
              <w:rPr>
                <w:rFonts w:ascii="Aptos" w:eastAsia="Aptos" w:hAnsi="Aptos" w:cs="Aptos"/>
              </w:rPr>
              <w:t>.</w:t>
            </w:r>
          </w:p>
          <w:p w14:paraId="407164E4" w14:textId="54CA0051" w:rsidR="002014CA" w:rsidRDefault="002014CA" w:rsidP="002014CA">
            <w:pPr>
              <w:rPr>
                <w:rFonts w:ascii="Aptos" w:eastAsia="Aptos" w:hAnsi="Aptos" w:cs="Aptos"/>
              </w:rPr>
            </w:pPr>
            <w:r>
              <w:rPr>
                <w:rFonts w:ascii="Aptos" w:eastAsia="Aptos" w:hAnsi="Aptos" w:cs="Aptos"/>
              </w:rPr>
              <w:t>It would be helpful if acceptance rules could be changed i</w:t>
            </w:r>
            <w:r w:rsidRPr="00AB2D7F">
              <w:rPr>
                <w:rFonts w:ascii="Aptos" w:eastAsia="Aptos" w:hAnsi="Aptos" w:cs="Aptos"/>
              </w:rPr>
              <w:t>n rare cases.</w:t>
            </w:r>
          </w:p>
        </w:tc>
      </w:tr>
      <w:tr w:rsidR="002014CA" w14:paraId="3D4ACE2D" w14:textId="77777777" w:rsidTr="002014CA">
        <w:trPr>
          <w:trHeight w:val="300"/>
        </w:trPr>
        <w:tc>
          <w:tcPr>
            <w:tcW w:w="535" w:type="dxa"/>
            <w:tcMar>
              <w:left w:w="105" w:type="dxa"/>
              <w:right w:w="105" w:type="dxa"/>
            </w:tcMar>
          </w:tcPr>
          <w:p w14:paraId="677B9BCB" w14:textId="73663529" w:rsidR="002014CA" w:rsidRPr="4DA895AC" w:rsidRDefault="002014CA" w:rsidP="002014CA">
            <w:pPr>
              <w:rPr>
                <w:rFonts w:ascii="Aptos" w:eastAsia="Aptos" w:hAnsi="Aptos" w:cs="Aptos"/>
              </w:rPr>
            </w:pPr>
            <w:r>
              <w:rPr>
                <w:rFonts w:ascii="Aptos" w:eastAsia="Aptos" w:hAnsi="Aptos" w:cs="Aptos"/>
              </w:rPr>
              <w:lastRenderedPageBreak/>
              <w:t>11.</w:t>
            </w:r>
          </w:p>
        </w:tc>
        <w:tc>
          <w:tcPr>
            <w:tcW w:w="4134" w:type="dxa"/>
            <w:tcMar>
              <w:left w:w="105" w:type="dxa"/>
              <w:right w:w="105" w:type="dxa"/>
            </w:tcMar>
          </w:tcPr>
          <w:p w14:paraId="0C14AAD8" w14:textId="647B159D" w:rsidR="002014CA" w:rsidRDefault="002014CA" w:rsidP="002014CA">
            <w:pPr>
              <w:rPr>
                <w:rFonts w:ascii="Aptos" w:eastAsia="Aptos" w:hAnsi="Aptos" w:cs="Aptos"/>
              </w:rPr>
            </w:pPr>
            <w:r w:rsidRPr="00195E93">
              <w:rPr>
                <w:rFonts w:ascii="Aptos" w:eastAsia="Aptos" w:hAnsi="Aptos" w:cs="Aptos"/>
              </w:rPr>
              <w:t>Do you have a shortlisting stage before full review? AP79 lists outcomes like “invited (after shortlisting)”. If yes, who shortlists and how is the shortlisting recorded?</w:t>
            </w:r>
          </w:p>
        </w:tc>
        <w:tc>
          <w:tcPr>
            <w:tcW w:w="5246" w:type="dxa"/>
            <w:tcMar>
              <w:left w:w="105" w:type="dxa"/>
              <w:right w:w="105" w:type="dxa"/>
            </w:tcMar>
          </w:tcPr>
          <w:p w14:paraId="60F92158" w14:textId="77777777" w:rsidR="002014CA" w:rsidRDefault="002014CA" w:rsidP="002014CA">
            <w:pPr>
              <w:rPr>
                <w:rFonts w:ascii="Aptos" w:eastAsia="Aptos" w:hAnsi="Aptos" w:cs="Aptos"/>
              </w:rPr>
            </w:pPr>
            <w:r w:rsidRPr="30023882">
              <w:rPr>
                <w:rFonts w:ascii="Aptos" w:eastAsia="Aptos" w:hAnsi="Aptos" w:cs="Aptos"/>
              </w:rPr>
              <w:t xml:space="preserve">Some calls include a shortlisting stage. This can be done either by a panel or based on peer reviewer score. </w:t>
            </w:r>
          </w:p>
          <w:p w14:paraId="0FEAC9C2" w14:textId="508109BB" w:rsidR="002014CA" w:rsidRDefault="002014CA" w:rsidP="002014CA">
            <w:pPr>
              <w:rPr>
                <w:rFonts w:ascii="Aptos" w:eastAsia="Aptos" w:hAnsi="Aptos" w:cs="Aptos"/>
              </w:rPr>
            </w:pPr>
            <w:r w:rsidRPr="30023882">
              <w:rPr>
                <w:rFonts w:ascii="Aptos" w:eastAsia="Aptos" w:hAnsi="Aptos" w:cs="Aptos"/>
              </w:rPr>
              <w:t>It is currently recorded by a change of outcome. We are open to your suggestions on how best to manage this workflow.</w:t>
            </w:r>
          </w:p>
        </w:tc>
      </w:tr>
      <w:tr w:rsidR="00524C77" w14:paraId="1F562B1E" w14:textId="77777777" w:rsidTr="002014CA">
        <w:trPr>
          <w:trHeight w:val="300"/>
        </w:trPr>
        <w:tc>
          <w:tcPr>
            <w:tcW w:w="535" w:type="dxa"/>
            <w:tcMar>
              <w:left w:w="105" w:type="dxa"/>
              <w:right w:w="105" w:type="dxa"/>
            </w:tcMar>
          </w:tcPr>
          <w:p w14:paraId="179058C5" w14:textId="7FB2C0FB" w:rsidR="00524C77" w:rsidRPr="4DA895AC" w:rsidRDefault="00524C77" w:rsidP="00524C77">
            <w:pPr>
              <w:rPr>
                <w:rFonts w:ascii="Aptos" w:eastAsia="Aptos" w:hAnsi="Aptos" w:cs="Aptos"/>
              </w:rPr>
            </w:pPr>
            <w:r>
              <w:rPr>
                <w:rFonts w:ascii="Aptos" w:eastAsia="Aptos" w:hAnsi="Aptos" w:cs="Aptos"/>
              </w:rPr>
              <w:t>12.</w:t>
            </w:r>
          </w:p>
        </w:tc>
        <w:tc>
          <w:tcPr>
            <w:tcW w:w="4134" w:type="dxa"/>
            <w:tcMar>
              <w:left w:w="105" w:type="dxa"/>
              <w:right w:w="105" w:type="dxa"/>
            </w:tcMar>
          </w:tcPr>
          <w:p w14:paraId="17AA45E0" w14:textId="6CA74A52" w:rsidR="00524C77" w:rsidRDefault="00524C77" w:rsidP="00524C77">
            <w:pPr>
              <w:rPr>
                <w:rFonts w:ascii="Aptos" w:eastAsia="Aptos" w:hAnsi="Aptos" w:cs="Aptos"/>
              </w:rPr>
            </w:pPr>
            <w:r w:rsidRPr="00123D85">
              <w:rPr>
                <w:rFonts w:ascii="Aptos" w:eastAsia="Aptos" w:hAnsi="Aptos" w:cs="Aptos"/>
              </w:rPr>
              <w:t xml:space="preserve">For the purposes of providing an accurate and compliant response, we would be grateful if you could clarify a detail within requirement GS1 of the </w:t>
            </w:r>
            <w:proofErr w:type="spellStart"/>
            <w:r w:rsidRPr="00123D85">
              <w:rPr>
                <w:rFonts w:ascii="Aptos" w:eastAsia="Aptos" w:hAnsi="Aptos" w:cs="Aptos"/>
              </w:rPr>
              <w:t>HRB_Grant</w:t>
            </w:r>
            <w:proofErr w:type="spellEnd"/>
            <w:r w:rsidRPr="00123D85">
              <w:rPr>
                <w:rFonts w:ascii="Aptos" w:eastAsia="Aptos" w:hAnsi="Aptos" w:cs="Aptos"/>
              </w:rPr>
              <w:t xml:space="preserve"> Management System Requirements.xlsx file. The requirement lists several standard import/export formats (.XLSX, .CSV, .XML, etc.) but also includes the non-standard .DAT file extension. To ensure we fully understand this requirement and can price our solution accurately, could you please clarify the following:</w:t>
            </w:r>
            <w:r w:rsidRPr="00123D85">
              <w:rPr>
                <w:rFonts w:ascii="Aptos" w:eastAsia="Aptos" w:hAnsi="Aptos" w:cs="Aptos"/>
              </w:rPr>
              <w:br/>
            </w:r>
            <w:r w:rsidRPr="00123D85">
              <w:rPr>
                <w:rFonts w:ascii="Aptos" w:eastAsia="Aptos" w:hAnsi="Aptos" w:cs="Aptos"/>
              </w:rPr>
              <w:br/>
            </w:r>
            <w:r>
              <w:rPr>
                <w:rFonts w:ascii="Aptos" w:eastAsia="Aptos" w:hAnsi="Aptos" w:cs="Aptos"/>
              </w:rPr>
              <w:t xml:space="preserve">- </w:t>
            </w:r>
            <w:r w:rsidRPr="00123D85">
              <w:rPr>
                <w:rFonts w:ascii="Aptos" w:eastAsia="Aptos" w:hAnsi="Aptos" w:cs="Aptos"/>
              </w:rPr>
              <w:t>What specific functionality or purpose does the .DAT file serve in the context of the Grant Management System, e.g. is it for integration with a specific third-party system?</w:t>
            </w:r>
            <w:r w:rsidRPr="00123D85">
              <w:rPr>
                <w:rFonts w:ascii="Aptos" w:eastAsia="Aptos" w:hAnsi="Aptos" w:cs="Aptos"/>
              </w:rPr>
              <w:br/>
            </w:r>
            <w:r w:rsidRPr="00123D85">
              <w:rPr>
                <w:rFonts w:ascii="Aptos" w:eastAsia="Aptos" w:hAnsi="Aptos" w:cs="Aptos"/>
              </w:rPr>
              <w:br/>
            </w:r>
            <w:r>
              <w:rPr>
                <w:rFonts w:ascii="Aptos" w:eastAsia="Aptos" w:hAnsi="Aptos" w:cs="Aptos"/>
              </w:rPr>
              <w:t xml:space="preserve">- </w:t>
            </w:r>
            <w:r w:rsidRPr="00123D85">
              <w:rPr>
                <w:rFonts w:ascii="Aptos" w:eastAsia="Aptos" w:hAnsi="Aptos" w:cs="Aptos"/>
              </w:rPr>
              <w:t>Could you provide information on the expected structure of the .DAT file, i.e. is it a delimited text file, a fixed-width file, or a proprietary binary format?</w:t>
            </w:r>
            <w:r w:rsidRPr="00123D85">
              <w:rPr>
                <w:rFonts w:ascii="Aptos" w:eastAsia="Aptos" w:hAnsi="Aptos" w:cs="Aptos"/>
              </w:rPr>
              <w:br/>
            </w:r>
            <w:r w:rsidRPr="00123D85">
              <w:rPr>
                <w:rFonts w:ascii="Aptos" w:eastAsia="Aptos" w:hAnsi="Aptos" w:cs="Aptos"/>
              </w:rPr>
              <w:br/>
            </w:r>
            <w:r>
              <w:rPr>
                <w:rFonts w:ascii="Aptos" w:eastAsia="Aptos" w:hAnsi="Aptos" w:cs="Aptos"/>
              </w:rPr>
              <w:t xml:space="preserve">- </w:t>
            </w:r>
            <w:r w:rsidRPr="00123D85">
              <w:rPr>
                <w:rFonts w:ascii="Aptos" w:eastAsia="Aptos" w:hAnsi="Aptos" w:cs="Aptos"/>
              </w:rPr>
              <w:t xml:space="preserve">Is support for the .DAT format a mandatory, "must-have" requirement, or could an alternative modern format like XML or a direct API integration be considered to </w:t>
            </w:r>
            <w:proofErr w:type="spellStart"/>
            <w:r w:rsidRPr="00123D85">
              <w:rPr>
                <w:rFonts w:ascii="Aptos" w:eastAsia="Aptos" w:hAnsi="Aptos" w:cs="Aptos"/>
              </w:rPr>
              <w:t>fulfill</w:t>
            </w:r>
            <w:proofErr w:type="spellEnd"/>
            <w:r w:rsidRPr="00123D85">
              <w:rPr>
                <w:rFonts w:ascii="Aptos" w:eastAsia="Aptos" w:hAnsi="Aptos" w:cs="Aptos"/>
              </w:rPr>
              <w:t xml:space="preserve"> the underlying business need?</w:t>
            </w:r>
          </w:p>
        </w:tc>
        <w:tc>
          <w:tcPr>
            <w:tcW w:w="5246" w:type="dxa"/>
            <w:tcMar>
              <w:left w:w="105" w:type="dxa"/>
              <w:right w:w="105" w:type="dxa"/>
            </w:tcMar>
          </w:tcPr>
          <w:p w14:paraId="68DB2C97" w14:textId="77777777" w:rsidR="00524C77" w:rsidRPr="000976AE" w:rsidRDefault="00524C77" w:rsidP="00524C77">
            <w:pPr>
              <w:rPr>
                <w:rFonts w:ascii="Aptos" w:eastAsia="Aptos" w:hAnsi="Aptos" w:cs="Aptos"/>
              </w:rPr>
            </w:pPr>
            <w:r w:rsidRPr="000976AE">
              <w:rPr>
                <w:rFonts w:ascii="Aptos" w:eastAsia="Aptos" w:hAnsi="Aptos" w:cs="Aptos"/>
              </w:rPr>
              <w:t>The list provided is a sample/suggested list. There is no specific requirement for .</w:t>
            </w:r>
            <w:proofErr w:type="spellStart"/>
            <w:r w:rsidRPr="000976AE">
              <w:rPr>
                <w:rFonts w:ascii="Aptos" w:eastAsia="Aptos" w:hAnsi="Aptos" w:cs="Aptos"/>
              </w:rPr>
              <w:t>dat</w:t>
            </w:r>
            <w:proofErr w:type="spellEnd"/>
            <w:r w:rsidRPr="000976AE">
              <w:rPr>
                <w:rFonts w:ascii="Aptos" w:eastAsia="Aptos" w:hAnsi="Aptos" w:cs="Aptos"/>
              </w:rPr>
              <w:t xml:space="preserve"> files, they do not relate to any specific </w:t>
            </w:r>
            <w:proofErr w:type="gramStart"/>
            <w:r w:rsidRPr="000976AE">
              <w:rPr>
                <w:rFonts w:ascii="Aptos" w:eastAsia="Aptos" w:hAnsi="Aptos" w:cs="Aptos"/>
              </w:rPr>
              <w:t>integrations</w:t>
            </w:r>
            <w:proofErr w:type="gramEnd"/>
            <w:r w:rsidRPr="000976AE">
              <w:rPr>
                <w:rFonts w:ascii="Aptos" w:eastAsia="Aptos" w:hAnsi="Aptos" w:cs="Aptos"/>
              </w:rPr>
              <w:t xml:space="preserve"> and it is not a mandatory requirement to be able to import/export .</w:t>
            </w:r>
            <w:proofErr w:type="spellStart"/>
            <w:r w:rsidRPr="000976AE">
              <w:rPr>
                <w:rFonts w:ascii="Aptos" w:eastAsia="Aptos" w:hAnsi="Aptos" w:cs="Aptos"/>
              </w:rPr>
              <w:t>dat</w:t>
            </w:r>
            <w:proofErr w:type="spellEnd"/>
            <w:r w:rsidRPr="000976AE">
              <w:rPr>
                <w:rFonts w:ascii="Aptos" w:eastAsia="Aptos" w:hAnsi="Aptos" w:cs="Aptos"/>
              </w:rPr>
              <w:t xml:space="preserve"> files.</w:t>
            </w:r>
          </w:p>
          <w:p w14:paraId="3B4A7FFC" w14:textId="77777777" w:rsidR="00524C77" w:rsidRPr="000976AE" w:rsidRDefault="00524C77" w:rsidP="00524C77">
            <w:pPr>
              <w:rPr>
                <w:rFonts w:ascii="Aptos" w:eastAsia="Aptos" w:hAnsi="Aptos" w:cs="Aptos"/>
              </w:rPr>
            </w:pPr>
          </w:p>
          <w:p w14:paraId="341CCC4D" w14:textId="77777777" w:rsidR="00524C77" w:rsidRPr="000976AE" w:rsidRDefault="00524C77" w:rsidP="00524C77">
            <w:pPr>
              <w:rPr>
                <w:rFonts w:ascii="Aptos" w:eastAsia="Aptos" w:hAnsi="Aptos" w:cs="Aptos"/>
              </w:rPr>
            </w:pPr>
            <w:r w:rsidRPr="000976AE">
              <w:rPr>
                <w:rFonts w:ascii="Aptos" w:eastAsia="Aptos" w:hAnsi="Aptos" w:cs="Aptos"/>
              </w:rPr>
              <w:t xml:space="preserve">The most likely requirements for imports would be .csv files. For exports, depending on the data being exported, we would anticipate .csv and .pdf to be the key formats required.   </w:t>
            </w:r>
          </w:p>
          <w:p w14:paraId="4FD67313" w14:textId="77777777" w:rsidR="00524C77" w:rsidRPr="000976AE" w:rsidRDefault="00524C77" w:rsidP="00524C77">
            <w:pPr>
              <w:rPr>
                <w:rFonts w:ascii="Aptos" w:eastAsia="Aptos" w:hAnsi="Aptos" w:cs="Aptos"/>
              </w:rPr>
            </w:pPr>
          </w:p>
          <w:p w14:paraId="7A4760B6" w14:textId="71097638" w:rsidR="00524C77" w:rsidRDefault="00524C77" w:rsidP="00524C77">
            <w:pPr>
              <w:rPr>
                <w:rFonts w:ascii="Aptos" w:eastAsia="Aptos" w:hAnsi="Aptos" w:cs="Aptos"/>
              </w:rPr>
            </w:pPr>
            <w:r w:rsidRPr="000976AE">
              <w:rPr>
                <w:rFonts w:ascii="Aptos" w:eastAsia="Aptos" w:hAnsi="Aptos" w:cs="Aptos"/>
              </w:rPr>
              <w:t>We would anticipate that integrations will be achieved via API integration.</w:t>
            </w:r>
          </w:p>
        </w:tc>
      </w:tr>
      <w:tr w:rsidR="00524C77" w14:paraId="0BD49B5E" w14:textId="77777777" w:rsidTr="002014CA">
        <w:trPr>
          <w:trHeight w:val="300"/>
        </w:trPr>
        <w:tc>
          <w:tcPr>
            <w:tcW w:w="535" w:type="dxa"/>
            <w:tcMar>
              <w:left w:w="105" w:type="dxa"/>
              <w:right w:w="105" w:type="dxa"/>
            </w:tcMar>
          </w:tcPr>
          <w:p w14:paraId="2DD6BD77" w14:textId="2396A593" w:rsidR="00524C77" w:rsidRPr="4DA895AC" w:rsidRDefault="00524C77" w:rsidP="00524C77">
            <w:pPr>
              <w:rPr>
                <w:rFonts w:ascii="Aptos" w:eastAsia="Aptos" w:hAnsi="Aptos" w:cs="Aptos"/>
              </w:rPr>
            </w:pPr>
            <w:r>
              <w:rPr>
                <w:rFonts w:ascii="Aptos" w:eastAsia="Aptos" w:hAnsi="Aptos" w:cs="Aptos"/>
              </w:rPr>
              <w:lastRenderedPageBreak/>
              <w:t>13.</w:t>
            </w:r>
          </w:p>
        </w:tc>
        <w:tc>
          <w:tcPr>
            <w:tcW w:w="4134" w:type="dxa"/>
            <w:tcMar>
              <w:left w:w="105" w:type="dxa"/>
              <w:right w:w="105" w:type="dxa"/>
            </w:tcMar>
          </w:tcPr>
          <w:p w14:paraId="222F384D" w14:textId="1C18B091" w:rsidR="00524C77" w:rsidRDefault="00524C77" w:rsidP="00524C77">
            <w:pPr>
              <w:rPr>
                <w:rFonts w:ascii="Aptos" w:eastAsia="Aptos" w:hAnsi="Aptos" w:cs="Aptos"/>
              </w:rPr>
            </w:pPr>
            <w:r w:rsidRPr="6F1C1FBA">
              <w:rPr>
                <w:rFonts w:ascii="Aptos" w:eastAsia="Aptos" w:hAnsi="Aptos" w:cs="Aptos"/>
              </w:rPr>
              <w:t xml:space="preserve"> </w:t>
            </w:r>
            <w:r w:rsidR="00500CE1">
              <w:rPr>
                <w:rFonts w:ascii="Aptos" w:eastAsia="Aptos" w:hAnsi="Aptos" w:cs="Aptos"/>
              </w:rPr>
              <w:t>If a grant management system has been developed previously</w:t>
            </w:r>
            <w:r w:rsidR="00EF656A">
              <w:rPr>
                <w:rFonts w:ascii="Aptos" w:eastAsia="Aptos" w:hAnsi="Aptos" w:cs="Aptos"/>
              </w:rPr>
              <w:t xml:space="preserve"> but would need customisation</w:t>
            </w:r>
            <w:r w:rsidR="008C30F3">
              <w:rPr>
                <w:rFonts w:ascii="Aptos" w:eastAsia="Aptos" w:hAnsi="Aptos" w:cs="Aptos"/>
              </w:rPr>
              <w:t xml:space="preserve"> for the </w:t>
            </w:r>
            <w:r w:rsidRPr="6F1C1FBA">
              <w:rPr>
                <w:rFonts w:ascii="Aptos" w:eastAsia="Aptos" w:hAnsi="Aptos" w:cs="Aptos"/>
              </w:rPr>
              <w:t>Health Research Board</w:t>
            </w:r>
            <w:r w:rsidR="008C30F3">
              <w:rPr>
                <w:rFonts w:ascii="Aptos" w:eastAsia="Aptos" w:hAnsi="Aptos" w:cs="Aptos"/>
              </w:rPr>
              <w:t>,</w:t>
            </w:r>
            <w:r w:rsidR="00500CE1">
              <w:rPr>
                <w:rFonts w:ascii="Aptos" w:eastAsia="Aptos" w:hAnsi="Aptos" w:cs="Aptos"/>
              </w:rPr>
              <w:t xml:space="preserve"> w</w:t>
            </w:r>
            <w:r w:rsidRPr="6F1C1FBA">
              <w:rPr>
                <w:rFonts w:ascii="Aptos" w:eastAsia="Aptos" w:hAnsi="Aptos" w:cs="Aptos"/>
              </w:rPr>
              <w:t>ould this be considered to fulfil the minimum requirements outlined in the Request for Tender?</w:t>
            </w:r>
          </w:p>
        </w:tc>
        <w:tc>
          <w:tcPr>
            <w:tcW w:w="5246" w:type="dxa"/>
            <w:tcMar>
              <w:left w:w="105" w:type="dxa"/>
              <w:right w:w="105" w:type="dxa"/>
            </w:tcMar>
          </w:tcPr>
          <w:p w14:paraId="088FB30C" w14:textId="60FAF844" w:rsidR="00524C77" w:rsidRDefault="00524C77" w:rsidP="00524C77">
            <w:pPr>
              <w:rPr>
                <w:rFonts w:ascii="Aptos" w:eastAsia="Aptos" w:hAnsi="Aptos" w:cs="Aptos"/>
              </w:rPr>
            </w:pPr>
            <w:r>
              <w:rPr>
                <w:rFonts w:ascii="Aptos" w:eastAsia="Aptos" w:hAnsi="Aptos" w:cs="Aptos"/>
              </w:rPr>
              <w:t xml:space="preserve">If you have a system that has pre-configured grant management functionality that you own the Intellectual Property Rights for or are Licensed to Resell, then you meet the minimum requirement. </w:t>
            </w:r>
          </w:p>
        </w:tc>
      </w:tr>
      <w:tr w:rsidR="00524C77" w14:paraId="76633342" w14:textId="77777777" w:rsidTr="002014CA">
        <w:trPr>
          <w:trHeight w:val="300"/>
        </w:trPr>
        <w:tc>
          <w:tcPr>
            <w:tcW w:w="535" w:type="dxa"/>
            <w:tcMar>
              <w:left w:w="105" w:type="dxa"/>
              <w:right w:w="105" w:type="dxa"/>
            </w:tcMar>
          </w:tcPr>
          <w:p w14:paraId="38FFE063" w14:textId="2D4ECBFD" w:rsidR="00524C77" w:rsidRPr="4DA895AC" w:rsidRDefault="00524C77" w:rsidP="00524C77">
            <w:pPr>
              <w:rPr>
                <w:rFonts w:ascii="Aptos" w:eastAsia="Aptos" w:hAnsi="Aptos" w:cs="Aptos"/>
              </w:rPr>
            </w:pPr>
            <w:r>
              <w:rPr>
                <w:rFonts w:ascii="Aptos" w:eastAsia="Aptos" w:hAnsi="Aptos" w:cs="Aptos"/>
              </w:rPr>
              <w:t>14.</w:t>
            </w:r>
          </w:p>
        </w:tc>
        <w:tc>
          <w:tcPr>
            <w:tcW w:w="4134" w:type="dxa"/>
            <w:tcMar>
              <w:left w:w="105" w:type="dxa"/>
              <w:right w:w="105" w:type="dxa"/>
            </w:tcMar>
          </w:tcPr>
          <w:p w14:paraId="4B4FF760" w14:textId="171332A8" w:rsidR="00524C77" w:rsidRDefault="00524C77" w:rsidP="00524C77">
            <w:pPr>
              <w:rPr>
                <w:rFonts w:ascii="Aptos" w:eastAsia="Aptos" w:hAnsi="Aptos" w:cs="Aptos"/>
              </w:rPr>
            </w:pPr>
            <w:r w:rsidRPr="00152218">
              <w:rPr>
                <w:rFonts w:ascii="Aptos" w:eastAsia="Aptos" w:hAnsi="Aptos" w:cs="Aptos"/>
              </w:rPr>
              <w:t xml:space="preserve">Can the supplier include their Standard SLA Template as an appendix to Criterion D or separate document and therefore is it not counted towards the </w:t>
            </w:r>
            <w:proofErr w:type="gramStart"/>
            <w:r w:rsidRPr="00152218">
              <w:rPr>
                <w:rFonts w:ascii="Aptos" w:eastAsia="Aptos" w:hAnsi="Aptos" w:cs="Aptos"/>
              </w:rPr>
              <w:t>15 page</w:t>
            </w:r>
            <w:proofErr w:type="gramEnd"/>
            <w:r w:rsidRPr="00152218">
              <w:rPr>
                <w:rFonts w:ascii="Aptos" w:eastAsia="Aptos" w:hAnsi="Aptos" w:cs="Aptos"/>
              </w:rPr>
              <w:t xml:space="preserve"> limit?</w:t>
            </w:r>
          </w:p>
        </w:tc>
        <w:tc>
          <w:tcPr>
            <w:tcW w:w="5246" w:type="dxa"/>
            <w:tcMar>
              <w:left w:w="105" w:type="dxa"/>
              <w:right w:w="105" w:type="dxa"/>
            </w:tcMar>
          </w:tcPr>
          <w:p w14:paraId="55D20DAB" w14:textId="568B045D" w:rsidR="00524C77" w:rsidRDefault="00524C77" w:rsidP="00524C77">
            <w:pPr>
              <w:rPr>
                <w:rFonts w:ascii="Aptos" w:eastAsia="Aptos" w:hAnsi="Aptos" w:cs="Aptos"/>
              </w:rPr>
            </w:pPr>
            <w:r>
              <w:rPr>
                <w:rFonts w:ascii="Aptos" w:eastAsia="Aptos" w:hAnsi="Aptos" w:cs="Aptos"/>
              </w:rPr>
              <w:t xml:space="preserve">The SLA can be included as an appendix and is not counted towards the </w:t>
            </w:r>
            <w:proofErr w:type="gramStart"/>
            <w:r>
              <w:rPr>
                <w:rFonts w:ascii="Aptos" w:eastAsia="Aptos" w:hAnsi="Aptos" w:cs="Aptos"/>
              </w:rPr>
              <w:t>15 page</w:t>
            </w:r>
            <w:proofErr w:type="gramEnd"/>
            <w:r>
              <w:rPr>
                <w:rFonts w:ascii="Aptos" w:eastAsia="Aptos" w:hAnsi="Aptos" w:cs="Aptos"/>
              </w:rPr>
              <w:t xml:space="preserve"> limit.</w:t>
            </w:r>
          </w:p>
        </w:tc>
      </w:tr>
    </w:tbl>
    <w:p w14:paraId="3E6AAD3E" w14:textId="5A5B1646" w:rsidR="6F2F9FE7" w:rsidRDefault="6F2F9FE7"/>
    <w:p w14:paraId="79AF294C" w14:textId="034AFA4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24ED6"/>
    <w:rsid w:val="00026EAD"/>
    <w:rsid w:val="000567FE"/>
    <w:rsid w:val="00064D14"/>
    <w:rsid w:val="000B0639"/>
    <w:rsid w:val="000E407B"/>
    <w:rsid w:val="000E5AB7"/>
    <w:rsid w:val="000F5886"/>
    <w:rsid w:val="001647CC"/>
    <w:rsid w:val="002014CA"/>
    <w:rsid w:val="00202B76"/>
    <w:rsid w:val="002231F3"/>
    <w:rsid w:val="0024658B"/>
    <w:rsid w:val="002846C9"/>
    <w:rsid w:val="002A2E98"/>
    <w:rsid w:val="002A4E8C"/>
    <w:rsid w:val="002C0B42"/>
    <w:rsid w:val="002D53C9"/>
    <w:rsid w:val="003020F1"/>
    <w:rsid w:val="00317E1E"/>
    <w:rsid w:val="00372C55"/>
    <w:rsid w:val="003C100F"/>
    <w:rsid w:val="003F5236"/>
    <w:rsid w:val="00416D27"/>
    <w:rsid w:val="00436812"/>
    <w:rsid w:val="00447842"/>
    <w:rsid w:val="00451A7E"/>
    <w:rsid w:val="004944E5"/>
    <w:rsid w:val="00496FA2"/>
    <w:rsid w:val="004D5E58"/>
    <w:rsid w:val="00500CE1"/>
    <w:rsid w:val="0050489F"/>
    <w:rsid w:val="005126A8"/>
    <w:rsid w:val="00524C77"/>
    <w:rsid w:val="00550344"/>
    <w:rsid w:val="0056062C"/>
    <w:rsid w:val="00574A57"/>
    <w:rsid w:val="0058648D"/>
    <w:rsid w:val="00595E76"/>
    <w:rsid w:val="0060457F"/>
    <w:rsid w:val="00631035"/>
    <w:rsid w:val="00634934"/>
    <w:rsid w:val="0066216C"/>
    <w:rsid w:val="006726B3"/>
    <w:rsid w:val="006903CC"/>
    <w:rsid w:val="006E128E"/>
    <w:rsid w:val="006F4A4E"/>
    <w:rsid w:val="0070176B"/>
    <w:rsid w:val="00706DC4"/>
    <w:rsid w:val="00715B2A"/>
    <w:rsid w:val="00792B7E"/>
    <w:rsid w:val="007A4295"/>
    <w:rsid w:val="007A6159"/>
    <w:rsid w:val="007E312D"/>
    <w:rsid w:val="00822A64"/>
    <w:rsid w:val="008C30F3"/>
    <w:rsid w:val="008E48CD"/>
    <w:rsid w:val="008F473D"/>
    <w:rsid w:val="00924708"/>
    <w:rsid w:val="00963006"/>
    <w:rsid w:val="009B4CE6"/>
    <w:rsid w:val="009D5590"/>
    <w:rsid w:val="009F6085"/>
    <w:rsid w:val="00A10B24"/>
    <w:rsid w:val="00A9494E"/>
    <w:rsid w:val="00AB37B0"/>
    <w:rsid w:val="00AB6B6A"/>
    <w:rsid w:val="00AE4A6F"/>
    <w:rsid w:val="00B24114"/>
    <w:rsid w:val="00B421DC"/>
    <w:rsid w:val="00B42D48"/>
    <w:rsid w:val="00B57E59"/>
    <w:rsid w:val="00B67D53"/>
    <w:rsid w:val="00BA7908"/>
    <w:rsid w:val="00BB3A52"/>
    <w:rsid w:val="00BB3FDD"/>
    <w:rsid w:val="00BD08E6"/>
    <w:rsid w:val="00BF315B"/>
    <w:rsid w:val="00BF5B42"/>
    <w:rsid w:val="00C14AEB"/>
    <w:rsid w:val="00C52974"/>
    <w:rsid w:val="00C65835"/>
    <w:rsid w:val="00C95EE1"/>
    <w:rsid w:val="00CA4816"/>
    <w:rsid w:val="00CBF536"/>
    <w:rsid w:val="00CC7122"/>
    <w:rsid w:val="00D047DD"/>
    <w:rsid w:val="00D15797"/>
    <w:rsid w:val="00D24124"/>
    <w:rsid w:val="00D962F9"/>
    <w:rsid w:val="00DF0C69"/>
    <w:rsid w:val="00E2674F"/>
    <w:rsid w:val="00E35939"/>
    <w:rsid w:val="00E61B87"/>
    <w:rsid w:val="00EB373E"/>
    <w:rsid w:val="00ED132D"/>
    <w:rsid w:val="00EF656A"/>
    <w:rsid w:val="00F22AB9"/>
    <w:rsid w:val="00F33D8A"/>
    <w:rsid w:val="00F53270"/>
    <w:rsid w:val="00F711E1"/>
    <w:rsid w:val="00FE30FF"/>
    <w:rsid w:val="010EC9A9"/>
    <w:rsid w:val="01225AD1"/>
    <w:rsid w:val="01F47CF5"/>
    <w:rsid w:val="01F4EECB"/>
    <w:rsid w:val="044F7920"/>
    <w:rsid w:val="04C587AE"/>
    <w:rsid w:val="0563CDEB"/>
    <w:rsid w:val="05E07E1C"/>
    <w:rsid w:val="06458D93"/>
    <w:rsid w:val="08927AA3"/>
    <w:rsid w:val="094C198F"/>
    <w:rsid w:val="0CBE8600"/>
    <w:rsid w:val="0D28A450"/>
    <w:rsid w:val="0D7CA2C2"/>
    <w:rsid w:val="0EEA308A"/>
    <w:rsid w:val="100955F1"/>
    <w:rsid w:val="113C6FD7"/>
    <w:rsid w:val="11F48573"/>
    <w:rsid w:val="12981C81"/>
    <w:rsid w:val="14A7473D"/>
    <w:rsid w:val="1567E995"/>
    <w:rsid w:val="159413C9"/>
    <w:rsid w:val="16162CE1"/>
    <w:rsid w:val="170A2330"/>
    <w:rsid w:val="1A659BC7"/>
    <w:rsid w:val="1A806D29"/>
    <w:rsid w:val="1D0D2FE2"/>
    <w:rsid w:val="1D2D3D94"/>
    <w:rsid w:val="1DB659FF"/>
    <w:rsid w:val="1E0C87B1"/>
    <w:rsid w:val="1EAC5C31"/>
    <w:rsid w:val="1F0A3E4F"/>
    <w:rsid w:val="1FAEB89F"/>
    <w:rsid w:val="1FF8B8AC"/>
    <w:rsid w:val="2052F9BB"/>
    <w:rsid w:val="207DF2A8"/>
    <w:rsid w:val="2143DD3B"/>
    <w:rsid w:val="21B2966F"/>
    <w:rsid w:val="229B9AEA"/>
    <w:rsid w:val="23BE44A2"/>
    <w:rsid w:val="24ADBEB5"/>
    <w:rsid w:val="24C7662D"/>
    <w:rsid w:val="2891F09F"/>
    <w:rsid w:val="294B74B2"/>
    <w:rsid w:val="2984878C"/>
    <w:rsid w:val="2D0FACA1"/>
    <w:rsid w:val="2D5AA706"/>
    <w:rsid w:val="2DBD63CC"/>
    <w:rsid w:val="302C6D20"/>
    <w:rsid w:val="30FB8C4D"/>
    <w:rsid w:val="32B01C6F"/>
    <w:rsid w:val="330ED6F8"/>
    <w:rsid w:val="331AA1AB"/>
    <w:rsid w:val="347FA3C4"/>
    <w:rsid w:val="37B8863C"/>
    <w:rsid w:val="388CD018"/>
    <w:rsid w:val="38D19323"/>
    <w:rsid w:val="3A78F27D"/>
    <w:rsid w:val="3B0EB3C0"/>
    <w:rsid w:val="3BC21882"/>
    <w:rsid w:val="3BE11306"/>
    <w:rsid w:val="3FCB7AF8"/>
    <w:rsid w:val="41200CF4"/>
    <w:rsid w:val="41DE1248"/>
    <w:rsid w:val="43B74A8A"/>
    <w:rsid w:val="4428FF09"/>
    <w:rsid w:val="4741AB4F"/>
    <w:rsid w:val="4C2FDDBB"/>
    <w:rsid w:val="4DA895AC"/>
    <w:rsid w:val="5133EE7A"/>
    <w:rsid w:val="514AEA22"/>
    <w:rsid w:val="51846920"/>
    <w:rsid w:val="53D955A0"/>
    <w:rsid w:val="543CF038"/>
    <w:rsid w:val="5592A1F6"/>
    <w:rsid w:val="56FD453A"/>
    <w:rsid w:val="573D93EB"/>
    <w:rsid w:val="5C10B755"/>
    <w:rsid w:val="5ED8B3B3"/>
    <w:rsid w:val="5EE6DB4A"/>
    <w:rsid w:val="5F38D48A"/>
    <w:rsid w:val="608A5912"/>
    <w:rsid w:val="61E2014E"/>
    <w:rsid w:val="62698188"/>
    <w:rsid w:val="63702CCC"/>
    <w:rsid w:val="6519355B"/>
    <w:rsid w:val="6558538D"/>
    <w:rsid w:val="65A66AED"/>
    <w:rsid w:val="66B79520"/>
    <w:rsid w:val="66B8AD48"/>
    <w:rsid w:val="66C62BFB"/>
    <w:rsid w:val="67CBCC77"/>
    <w:rsid w:val="6813BD38"/>
    <w:rsid w:val="68893F20"/>
    <w:rsid w:val="68DF3950"/>
    <w:rsid w:val="68FFE0DD"/>
    <w:rsid w:val="6964085E"/>
    <w:rsid w:val="69C37D51"/>
    <w:rsid w:val="6CD7AB6A"/>
    <w:rsid w:val="6D7DD45D"/>
    <w:rsid w:val="6DA1CE62"/>
    <w:rsid w:val="6E01A7B3"/>
    <w:rsid w:val="6F2F9FE7"/>
    <w:rsid w:val="714C6616"/>
    <w:rsid w:val="720D5999"/>
    <w:rsid w:val="720E2090"/>
    <w:rsid w:val="7268C38E"/>
    <w:rsid w:val="7319E2EF"/>
    <w:rsid w:val="7348D2B9"/>
    <w:rsid w:val="7368291B"/>
    <w:rsid w:val="74D8E493"/>
    <w:rsid w:val="77D1FEBD"/>
    <w:rsid w:val="7A34BCDA"/>
    <w:rsid w:val="7DCC599F"/>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 w:type="paragraph" w:customStyle="1" w:styleId="paragraph">
    <w:name w:val="paragraph"/>
    <w:basedOn w:val="Normal"/>
    <w:rsid w:val="0055034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550344"/>
  </w:style>
  <w:style w:type="character" w:customStyle="1" w:styleId="eop">
    <w:name w:val="eop"/>
    <w:basedOn w:val="DefaultParagraphFont"/>
    <w:rsid w:val="0055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432e0aea152e4b8ad8f79adcc1495b79">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acd1ac83cc27e955578f842ed8710233"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A9227-E25C-45C5-A45B-9EC3701E0102}">
  <ds:schemaRefs>
    <ds:schemaRef ds:uri="http://schemas.microsoft.com/sharepoint/v3/contenttype/forms"/>
  </ds:schemaRefs>
</ds:datastoreItem>
</file>

<file path=customXml/itemProps2.xml><?xml version="1.0" encoding="utf-8"?>
<ds:datastoreItem xmlns:ds="http://schemas.openxmlformats.org/officeDocument/2006/customXml" ds:itemID="{01C42BAB-327B-480E-8B3D-63810FE81028}">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34628e8-8dc7-4334-9282-f22ad4a94a78"/>
    <ds:schemaRef ds:uri="http://purl.org/dc/term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2CE7FA26-EC17-473E-AF86-E2986B92C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6544</Characters>
  <Application>Microsoft Office Word</Application>
  <DocSecurity>0</DocSecurity>
  <Lines>54</Lines>
  <Paragraphs>15</Paragraphs>
  <ScaleCrop>false</ScaleCrop>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2</cp:revision>
  <dcterms:created xsi:type="dcterms:W3CDTF">2025-11-18T17:27:00Z</dcterms:created>
  <dcterms:modified xsi:type="dcterms:W3CDTF">2025-11-18T17:27:00Z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