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68DC" w14:textId="076EA29D" w:rsidR="00CA4816" w:rsidRDefault="294B74B2" w:rsidP="69C37D51">
      <w:pPr>
        <w:rPr>
          <w:rFonts w:ascii="Aptos" w:eastAsia="Aptos" w:hAnsi="Aptos" w:cs="Aptos"/>
          <w:color w:val="000000" w:themeColor="text1"/>
        </w:rPr>
      </w:pPr>
      <w:r w:rsidRPr="69C37D51">
        <w:rPr>
          <w:rFonts w:ascii="Aptos" w:eastAsia="Aptos" w:hAnsi="Aptos" w:cs="Aptos"/>
          <w:b/>
          <w:bCs/>
          <w:color w:val="000000" w:themeColor="text1"/>
        </w:rPr>
        <w:t xml:space="preserve">HRB </w:t>
      </w:r>
      <w:r w:rsidR="00B67D53" w:rsidRPr="00B67D53">
        <w:rPr>
          <w:rFonts w:ascii="Aptos" w:eastAsia="Aptos" w:hAnsi="Aptos" w:cs="Aptos"/>
          <w:b/>
          <w:bCs/>
          <w:color w:val="000000" w:themeColor="text1"/>
        </w:rPr>
        <w:t>Provision of a Grant Management System</w:t>
      </w:r>
    </w:p>
    <w:p w14:paraId="0FF4C792" w14:textId="0ECC2368" w:rsidR="00CA4816" w:rsidRDefault="1567E995" w:rsidP="69C37D51">
      <w:pPr>
        <w:rPr>
          <w:rFonts w:ascii="Aptos" w:eastAsia="Aptos" w:hAnsi="Aptos" w:cs="Aptos"/>
          <w:b/>
          <w:bCs/>
        </w:rPr>
      </w:pPr>
      <w:r w:rsidRPr="41DE1248">
        <w:rPr>
          <w:rFonts w:ascii="Aptos" w:eastAsia="Aptos" w:hAnsi="Aptos" w:cs="Aptos"/>
          <w:b/>
          <w:bCs/>
          <w:color w:val="000000" w:themeColor="text1"/>
          <w:lang w:val="en-IE"/>
        </w:rPr>
        <w:t xml:space="preserve">CFT </w:t>
      </w:r>
      <w:r w:rsidR="38D19323" w:rsidRPr="41DE1248">
        <w:rPr>
          <w:rFonts w:ascii="Aptos" w:eastAsia="Aptos" w:hAnsi="Aptos" w:cs="Aptos"/>
          <w:b/>
          <w:bCs/>
          <w:color w:val="000000" w:themeColor="text1"/>
        </w:rPr>
        <w:t>6861818</w:t>
      </w:r>
    </w:p>
    <w:tbl>
      <w:tblPr>
        <w:tblStyle w:val="TableGrid"/>
        <w:tblW w:w="991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534"/>
        <w:gridCol w:w="4134"/>
        <w:gridCol w:w="5247"/>
      </w:tblGrid>
      <w:tr w:rsidR="6F2F9FE7" w14:paraId="2091BC7E" w14:textId="77777777" w:rsidTr="100955F1">
        <w:trPr>
          <w:trHeight w:val="300"/>
        </w:trPr>
        <w:tc>
          <w:tcPr>
            <w:tcW w:w="9915" w:type="dxa"/>
            <w:gridSpan w:val="3"/>
            <w:tcMar>
              <w:left w:w="105" w:type="dxa"/>
              <w:right w:w="105" w:type="dxa"/>
            </w:tcMar>
          </w:tcPr>
          <w:p w14:paraId="4C9531B0" w14:textId="5AFFCD4B" w:rsidR="6F2F9FE7" w:rsidRDefault="6F2F9FE7" w:rsidP="6F2F9FE7">
            <w:pPr>
              <w:rPr>
                <w:rFonts w:ascii="Aptos" w:eastAsia="Aptos" w:hAnsi="Aptos" w:cs="Aptos"/>
                <w:b/>
                <w:bCs/>
              </w:rPr>
            </w:pPr>
            <w:r w:rsidRPr="6F2F9FE7">
              <w:rPr>
                <w:rFonts w:ascii="Aptos" w:eastAsia="Aptos" w:hAnsi="Aptos" w:cs="Aptos"/>
                <w:b/>
                <w:bCs/>
              </w:rPr>
              <w:t xml:space="preserve">Clarifications </w:t>
            </w:r>
            <w:r w:rsidR="003020F1">
              <w:rPr>
                <w:rFonts w:ascii="Aptos" w:eastAsia="Aptos" w:hAnsi="Aptos" w:cs="Aptos"/>
                <w:b/>
                <w:bCs/>
              </w:rPr>
              <w:t>3</w:t>
            </w:r>
          </w:p>
        </w:tc>
      </w:tr>
      <w:tr w:rsidR="6F2F9FE7" w14:paraId="152C14C4" w14:textId="77777777" w:rsidTr="100955F1">
        <w:trPr>
          <w:trHeight w:val="300"/>
        </w:trPr>
        <w:tc>
          <w:tcPr>
            <w:tcW w:w="534" w:type="dxa"/>
            <w:tcMar>
              <w:left w:w="105" w:type="dxa"/>
              <w:right w:w="105" w:type="dxa"/>
            </w:tcMar>
          </w:tcPr>
          <w:p w14:paraId="742A6141" w14:textId="42A53E60" w:rsidR="6F2F9FE7" w:rsidRDefault="6F2F9FE7" w:rsidP="6F2F9FE7">
            <w:pPr>
              <w:rPr>
                <w:rFonts w:ascii="Aptos" w:eastAsia="Aptos" w:hAnsi="Aptos" w:cs="Aptos"/>
              </w:rPr>
            </w:pPr>
          </w:p>
        </w:tc>
        <w:tc>
          <w:tcPr>
            <w:tcW w:w="4134" w:type="dxa"/>
            <w:tcMar>
              <w:left w:w="105" w:type="dxa"/>
              <w:right w:w="105" w:type="dxa"/>
            </w:tcMar>
          </w:tcPr>
          <w:p w14:paraId="4F481551" w14:textId="6FE3F647" w:rsidR="6F2F9FE7" w:rsidRDefault="6F2F9FE7" w:rsidP="6F2F9FE7">
            <w:pPr>
              <w:rPr>
                <w:rFonts w:ascii="Aptos" w:eastAsia="Aptos" w:hAnsi="Aptos" w:cs="Aptos"/>
              </w:rPr>
            </w:pPr>
            <w:r w:rsidRPr="6F2F9FE7">
              <w:rPr>
                <w:rFonts w:ascii="Aptos" w:eastAsia="Aptos" w:hAnsi="Aptos" w:cs="Aptos"/>
                <w:b/>
                <w:bCs/>
              </w:rPr>
              <w:t>Question</w:t>
            </w:r>
          </w:p>
        </w:tc>
        <w:tc>
          <w:tcPr>
            <w:tcW w:w="5247" w:type="dxa"/>
            <w:tcMar>
              <w:left w:w="105" w:type="dxa"/>
              <w:right w:w="105" w:type="dxa"/>
            </w:tcMar>
          </w:tcPr>
          <w:p w14:paraId="2AA72DE0" w14:textId="28CAD39C" w:rsidR="6F2F9FE7" w:rsidRDefault="6F2F9FE7" w:rsidP="6F2F9FE7">
            <w:pPr>
              <w:rPr>
                <w:rFonts w:ascii="Aptos" w:eastAsia="Aptos" w:hAnsi="Aptos" w:cs="Aptos"/>
              </w:rPr>
            </w:pPr>
            <w:r w:rsidRPr="6F2F9FE7">
              <w:rPr>
                <w:rFonts w:ascii="Aptos" w:eastAsia="Aptos" w:hAnsi="Aptos" w:cs="Aptos"/>
                <w:b/>
                <w:bCs/>
              </w:rPr>
              <w:t>HRB Response</w:t>
            </w:r>
          </w:p>
        </w:tc>
      </w:tr>
      <w:tr w:rsidR="00550344" w14:paraId="13890D33" w14:textId="77777777" w:rsidTr="100955F1">
        <w:trPr>
          <w:trHeight w:val="300"/>
        </w:trPr>
        <w:tc>
          <w:tcPr>
            <w:tcW w:w="534" w:type="dxa"/>
            <w:tcMar>
              <w:left w:w="105" w:type="dxa"/>
              <w:right w:w="105" w:type="dxa"/>
            </w:tcMar>
          </w:tcPr>
          <w:p w14:paraId="397B84B9" w14:textId="346937EB" w:rsidR="00550344" w:rsidRDefault="00550344" w:rsidP="00550344">
            <w:pPr>
              <w:rPr>
                <w:rFonts w:ascii="Aptos" w:eastAsia="Aptos" w:hAnsi="Aptos" w:cs="Aptos"/>
              </w:rPr>
            </w:pPr>
            <w:r w:rsidRPr="6F2F9FE7">
              <w:rPr>
                <w:rFonts w:ascii="Aptos" w:eastAsia="Aptos" w:hAnsi="Aptos" w:cs="Aptos"/>
              </w:rPr>
              <w:t>1.</w:t>
            </w:r>
          </w:p>
        </w:tc>
        <w:tc>
          <w:tcPr>
            <w:tcW w:w="4134" w:type="dxa"/>
            <w:tcMar>
              <w:left w:w="105" w:type="dxa"/>
              <w:right w:w="105" w:type="dxa"/>
            </w:tcMar>
          </w:tcPr>
          <w:p w14:paraId="3234C321" w14:textId="0DF1E531" w:rsidR="00550344" w:rsidRDefault="00550344" w:rsidP="00550344">
            <w:pPr>
              <w:rPr>
                <w:rFonts w:ascii="Aptos" w:eastAsia="Aptos" w:hAnsi="Aptos" w:cs="Aptos"/>
              </w:rPr>
            </w:pPr>
            <w:r w:rsidRPr="00550344">
              <w:rPr>
                <w:rFonts w:ascii="Aptos" w:eastAsia="Aptos" w:hAnsi="Aptos" w:cs="Aptos"/>
              </w:rPr>
              <w:t>The RFT states that all data, including backup and replication, must be “stored, hosted, and processed in data centres located in the EEA.” We note that references in the System Requirements spreadsheet they are listed as “Europe”. For clarification, would the Contracting Authority accept hosting in the United Kingdom, where data protection standards align closely with EU? </w:t>
            </w:r>
          </w:p>
        </w:tc>
        <w:tc>
          <w:tcPr>
            <w:tcW w:w="5247" w:type="dxa"/>
            <w:tcMar>
              <w:left w:w="105" w:type="dxa"/>
              <w:right w:w="105" w:type="dxa"/>
            </w:tcMar>
          </w:tcPr>
          <w:p w14:paraId="1247F672"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Both the RFT and the System Requirements spreadsheet specify that data residence and processing must be within the EEA.</w:t>
            </w:r>
            <w:r>
              <w:rPr>
                <w:rStyle w:val="eop"/>
                <w:rFonts w:ascii="Aptos" w:hAnsi="Aptos" w:cs="Segoe UI"/>
              </w:rPr>
              <w:t> </w:t>
            </w:r>
          </w:p>
          <w:p w14:paraId="6DC63F3D"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69750078"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While the UK currently has an adequacy decision from the EU in relation to data protection, at any time, the European Parliament and the Council may request the European Commission to withdraw the adequacy decision.</w:t>
            </w:r>
            <w:r>
              <w:rPr>
                <w:rStyle w:val="eop"/>
                <w:rFonts w:ascii="Aptos" w:hAnsi="Aptos" w:cs="Segoe UI"/>
              </w:rPr>
              <w:t> </w:t>
            </w:r>
          </w:p>
          <w:p w14:paraId="489FD86E"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373ECFD3"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On that basis, hosting in the United Kingdom would not be acceptable.</w:t>
            </w:r>
            <w:r>
              <w:rPr>
                <w:rStyle w:val="eop"/>
                <w:rFonts w:ascii="Aptos" w:hAnsi="Aptos" w:cs="Segoe UI"/>
              </w:rPr>
              <w:t> </w:t>
            </w:r>
          </w:p>
          <w:p w14:paraId="6D254EAD" w14:textId="7FB79FA6" w:rsidR="00550344" w:rsidRDefault="00550344" w:rsidP="00550344">
            <w:pPr>
              <w:rPr>
                <w:rFonts w:ascii="Aptos" w:eastAsia="Aptos" w:hAnsi="Aptos" w:cs="Aptos"/>
              </w:rPr>
            </w:pPr>
            <w:r>
              <w:rPr>
                <w:rStyle w:val="eop"/>
                <w:rFonts w:ascii="Aptos" w:hAnsi="Aptos" w:cs="Segoe UI"/>
              </w:rPr>
              <w:t> </w:t>
            </w:r>
          </w:p>
        </w:tc>
      </w:tr>
      <w:tr w:rsidR="00550344" w14:paraId="09F676B6" w14:textId="77777777" w:rsidTr="100955F1">
        <w:trPr>
          <w:trHeight w:val="300"/>
        </w:trPr>
        <w:tc>
          <w:tcPr>
            <w:tcW w:w="534" w:type="dxa"/>
            <w:tcMar>
              <w:left w:w="105" w:type="dxa"/>
              <w:right w:w="105" w:type="dxa"/>
            </w:tcMar>
          </w:tcPr>
          <w:p w14:paraId="462C2F84" w14:textId="49D6282E" w:rsidR="00550344" w:rsidRDefault="00550344" w:rsidP="00550344">
            <w:pPr>
              <w:rPr>
                <w:rFonts w:ascii="Aptos" w:eastAsia="Aptos" w:hAnsi="Aptos" w:cs="Aptos"/>
              </w:rPr>
            </w:pPr>
            <w:r w:rsidRPr="6F2F9FE7">
              <w:rPr>
                <w:rFonts w:ascii="Aptos" w:eastAsia="Aptos" w:hAnsi="Aptos" w:cs="Aptos"/>
              </w:rPr>
              <w:t>2.</w:t>
            </w:r>
          </w:p>
        </w:tc>
        <w:tc>
          <w:tcPr>
            <w:tcW w:w="4134" w:type="dxa"/>
            <w:tcMar>
              <w:left w:w="105" w:type="dxa"/>
              <w:right w:w="105" w:type="dxa"/>
            </w:tcMar>
          </w:tcPr>
          <w:p w14:paraId="14AC1C95" w14:textId="61D268D1" w:rsidR="00550344" w:rsidRDefault="00550344" w:rsidP="00550344">
            <w:pPr>
              <w:tabs>
                <w:tab w:val="left" w:pos="1040"/>
              </w:tabs>
              <w:rPr>
                <w:rFonts w:ascii="Aptos" w:eastAsia="Aptos" w:hAnsi="Aptos" w:cs="Aptos"/>
              </w:rPr>
            </w:pPr>
            <w:r w:rsidRPr="00BF5B42">
              <w:rPr>
                <w:rFonts w:ascii="Aptos" w:eastAsia="Aptos" w:hAnsi="Aptos" w:cs="Aptos"/>
              </w:rPr>
              <w:t xml:space="preserve">We understand the tender requires that at least some delivery personnel </w:t>
            </w:r>
            <w:proofErr w:type="gramStart"/>
            <w:r w:rsidRPr="00BF5B42">
              <w:rPr>
                <w:rFonts w:ascii="Aptos" w:eastAsia="Aptos" w:hAnsi="Aptos" w:cs="Aptos"/>
              </w:rPr>
              <w:t>are located in</w:t>
            </w:r>
            <w:proofErr w:type="gramEnd"/>
            <w:r w:rsidRPr="00BF5B42">
              <w:rPr>
                <w:rFonts w:ascii="Aptos" w:eastAsia="Aptos" w:hAnsi="Aptos" w:cs="Aptos"/>
              </w:rPr>
              <w:t xml:space="preserve"> Europe. Could you please clarify whether the United Kingdom would satisfy this criterion as it's still geographically located in the EU? </w:t>
            </w:r>
          </w:p>
        </w:tc>
        <w:tc>
          <w:tcPr>
            <w:tcW w:w="5247" w:type="dxa"/>
            <w:tcMar>
              <w:left w:w="105" w:type="dxa"/>
              <w:right w:w="105" w:type="dxa"/>
            </w:tcMar>
          </w:tcPr>
          <w:p w14:paraId="4274A6E1"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As the UK is in Europe, UK-based team/personnel satisfy this requirement.</w:t>
            </w:r>
            <w:r>
              <w:rPr>
                <w:rStyle w:val="eop"/>
                <w:rFonts w:ascii="Aptos" w:hAnsi="Aptos" w:cs="Segoe UI"/>
              </w:rPr>
              <w:t> </w:t>
            </w:r>
          </w:p>
          <w:p w14:paraId="1032DE15"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0A7E8507"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32C21644"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7B80EFAD" w14:textId="5ADCF56F" w:rsidR="00550344" w:rsidRDefault="00550344" w:rsidP="00550344">
            <w:pPr>
              <w:rPr>
                <w:rFonts w:ascii="Aptos" w:eastAsia="Aptos" w:hAnsi="Aptos" w:cs="Aptos"/>
              </w:rPr>
            </w:pPr>
            <w:r>
              <w:rPr>
                <w:rStyle w:val="eop"/>
                <w:rFonts w:ascii="Aptos" w:hAnsi="Aptos" w:cs="Segoe UI"/>
              </w:rPr>
              <w:t> </w:t>
            </w:r>
          </w:p>
        </w:tc>
      </w:tr>
      <w:tr w:rsidR="00550344" w14:paraId="013988F2" w14:textId="77777777" w:rsidTr="100955F1">
        <w:trPr>
          <w:trHeight w:val="300"/>
        </w:trPr>
        <w:tc>
          <w:tcPr>
            <w:tcW w:w="534" w:type="dxa"/>
            <w:tcMar>
              <w:left w:w="105" w:type="dxa"/>
              <w:right w:w="105" w:type="dxa"/>
            </w:tcMar>
          </w:tcPr>
          <w:p w14:paraId="3755570A" w14:textId="35FAA292" w:rsidR="00550344" w:rsidRDefault="00550344" w:rsidP="00550344">
            <w:pPr>
              <w:rPr>
                <w:rFonts w:ascii="Aptos" w:eastAsia="Aptos" w:hAnsi="Aptos" w:cs="Aptos"/>
              </w:rPr>
            </w:pPr>
            <w:r w:rsidRPr="6F2F9FE7">
              <w:rPr>
                <w:rFonts w:ascii="Aptos" w:eastAsia="Aptos" w:hAnsi="Aptos" w:cs="Aptos"/>
              </w:rPr>
              <w:t>3.</w:t>
            </w:r>
          </w:p>
        </w:tc>
        <w:tc>
          <w:tcPr>
            <w:tcW w:w="4134" w:type="dxa"/>
            <w:tcMar>
              <w:left w:w="105" w:type="dxa"/>
              <w:right w:w="105" w:type="dxa"/>
            </w:tcMar>
          </w:tcPr>
          <w:p w14:paraId="06B51D89" w14:textId="064F9426" w:rsidR="00550344" w:rsidRDefault="00550344" w:rsidP="00550344">
            <w:pPr>
              <w:rPr>
                <w:rFonts w:ascii="Aptos" w:eastAsia="Aptos" w:hAnsi="Aptos" w:cs="Aptos"/>
              </w:rPr>
            </w:pPr>
            <w:r w:rsidRPr="00BF5B42">
              <w:rPr>
                <w:rFonts w:ascii="Aptos" w:eastAsia="Aptos" w:hAnsi="Aptos" w:cs="Aptos"/>
              </w:rPr>
              <w:t>Please could HRB confirm whether a multi-tenant SaaS environment is acceptable for the proposed Grant Management System? Or does the HRB require a single-tenant or dedicated hosting environment? </w:t>
            </w:r>
          </w:p>
        </w:tc>
        <w:tc>
          <w:tcPr>
            <w:tcW w:w="5247" w:type="dxa"/>
            <w:tcMar>
              <w:left w:w="105" w:type="dxa"/>
              <w:right w:w="105" w:type="dxa"/>
            </w:tcMar>
          </w:tcPr>
          <w:p w14:paraId="69C08F25"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A multi-tenant SaaS environment is acceptable if the supplier can demonstrate robust logical data security and scalability. Please refer to the “Security” worksheet of the HRB Grant Management System Requirements” spreadsheet. </w:t>
            </w:r>
            <w:r>
              <w:rPr>
                <w:rStyle w:val="eop"/>
                <w:rFonts w:ascii="Aptos" w:hAnsi="Aptos" w:cs="Segoe UI"/>
              </w:rPr>
              <w:t> </w:t>
            </w:r>
          </w:p>
          <w:p w14:paraId="1B4066E5"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The system may also require system configuration that is unique to the HRB and the multi-tenant environment should allow for that.</w:t>
            </w:r>
            <w:r>
              <w:rPr>
                <w:rStyle w:val="eop"/>
                <w:rFonts w:ascii="Aptos" w:hAnsi="Aptos" w:cs="Segoe UI"/>
              </w:rPr>
              <w:t> </w:t>
            </w:r>
          </w:p>
          <w:p w14:paraId="35C51A51" w14:textId="10B81A9D" w:rsidR="00550344" w:rsidRDefault="00550344" w:rsidP="00550344">
            <w:pPr>
              <w:rPr>
                <w:rFonts w:ascii="Aptos" w:eastAsia="Aptos" w:hAnsi="Aptos" w:cs="Aptos"/>
              </w:rPr>
            </w:pPr>
            <w:r>
              <w:rPr>
                <w:rStyle w:val="eop"/>
                <w:rFonts w:ascii="Aptos" w:hAnsi="Aptos" w:cs="Segoe UI"/>
                <w:color w:val="215E99"/>
              </w:rPr>
              <w:t> </w:t>
            </w:r>
          </w:p>
        </w:tc>
      </w:tr>
      <w:tr w:rsidR="00550344" w14:paraId="3E2A348D" w14:textId="77777777" w:rsidTr="100955F1">
        <w:trPr>
          <w:trHeight w:val="300"/>
        </w:trPr>
        <w:tc>
          <w:tcPr>
            <w:tcW w:w="534" w:type="dxa"/>
            <w:tcMar>
              <w:left w:w="105" w:type="dxa"/>
              <w:right w:w="105" w:type="dxa"/>
            </w:tcMar>
          </w:tcPr>
          <w:p w14:paraId="508CFBF5" w14:textId="5803DD90" w:rsidR="00550344" w:rsidRDefault="00550344" w:rsidP="00550344">
            <w:pPr>
              <w:rPr>
                <w:rFonts w:ascii="Aptos" w:eastAsia="Aptos" w:hAnsi="Aptos" w:cs="Aptos"/>
              </w:rPr>
            </w:pPr>
            <w:r w:rsidRPr="6F2F9FE7">
              <w:rPr>
                <w:rFonts w:ascii="Aptos" w:eastAsia="Aptos" w:hAnsi="Aptos" w:cs="Aptos"/>
              </w:rPr>
              <w:t>4.</w:t>
            </w:r>
          </w:p>
        </w:tc>
        <w:tc>
          <w:tcPr>
            <w:tcW w:w="4134" w:type="dxa"/>
            <w:tcMar>
              <w:left w:w="105" w:type="dxa"/>
              <w:right w:w="105" w:type="dxa"/>
            </w:tcMar>
          </w:tcPr>
          <w:p w14:paraId="0E45742E" w14:textId="2E629B1E" w:rsidR="00550344" w:rsidRDefault="00550344" w:rsidP="00550344">
            <w:pPr>
              <w:rPr>
                <w:rFonts w:ascii="Aptos" w:eastAsia="Aptos" w:hAnsi="Aptos" w:cs="Aptos"/>
              </w:rPr>
            </w:pPr>
            <w:r w:rsidRPr="00BF5B42">
              <w:rPr>
                <w:rFonts w:ascii="Aptos" w:eastAsia="Aptos" w:hAnsi="Aptos" w:cs="Aptos"/>
              </w:rPr>
              <w:t xml:space="preserve">In follow up to your previous CQ response on the Criterion C question, you outlined that there is a 10xpage limit. Can you confirm if that is inclusive or exclusive of the resource profile templates. For example, does this mean that you only want to see a max of 10 CVs/resource profile templates (assuming 1 page per CV/resource profile template), as opposed to a CV for all team </w:t>
            </w:r>
            <w:r w:rsidRPr="00BF5B42">
              <w:rPr>
                <w:rFonts w:ascii="Aptos" w:eastAsia="Aptos" w:hAnsi="Aptos" w:cs="Aptos"/>
              </w:rPr>
              <w:lastRenderedPageBreak/>
              <w:t>members? Additionally, is it on the supplier to make a judgement call on whether to therefore use one of the pages for introductory text and potentially only include 9x CVs/resource profile templates? </w:t>
            </w:r>
          </w:p>
        </w:tc>
        <w:tc>
          <w:tcPr>
            <w:tcW w:w="5247" w:type="dxa"/>
            <w:tcMar>
              <w:left w:w="105" w:type="dxa"/>
              <w:right w:w="105" w:type="dxa"/>
            </w:tcMar>
          </w:tcPr>
          <w:p w14:paraId="01E1AE17"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lastRenderedPageBreak/>
              <w:t xml:space="preserve">The page limit for Criterion C – Technical Merit for the proposed team has increased to </w:t>
            </w:r>
            <w:r>
              <w:rPr>
                <w:rStyle w:val="normaltextrun"/>
                <w:rFonts w:ascii="Aptos" w:hAnsi="Aptos" w:cs="Segoe UI"/>
                <w:b/>
                <w:bCs/>
              </w:rPr>
              <w:t xml:space="preserve">15 x A4 pages. </w:t>
            </w:r>
            <w:r>
              <w:rPr>
                <w:rStyle w:val="normaltextrun"/>
                <w:rFonts w:ascii="Aptos" w:hAnsi="Aptos" w:cs="Segoe UI"/>
              </w:rPr>
              <w:t>Introductory text and an org chart of the proposed team can be included within the page limit.</w:t>
            </w:r>
            <w:r>
              <w:rPr>
                <w:rStyle w:val="eop"/>
                <w:rFonts w:ascii="Aptos" w:hAnsi="Aptos" w:cs="Segoe UI"/>
              </w:rPr>
              <w:t> </w:t>
            </w:r>
          </w:p>
          <w:p w14:paraId="49E04C8C" w14:textId="77777777" w:rsidR="00550344" w:rsidRDefault="00550344" w:rsidP="00550344">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215E99"/>
              </w:rPr>
              <w:t> </w:t>
            </w:r>
          </w:p>
          <w:p w14:paraId="0DEC96CA" w14:textId="3CE56670" w:rsidR="00550344" w:rsidRDefault="00550344" w:rsidP="00550344">
            <w:pPr>
              <w:rPr>
                <w:rFonts w:ascii="Aptos" w:eastAsia="Aptos" w:hAnsi="Aptos" w:cs="Aptos"/>
              </w:rPr>
            </w:pPr>
            <w:r>
              <w:rPr>
                <w:rStyle w:val="eop"/>
                <w:rFonts w:ascii="Aptos" w:hAnsi="Aptos" w:cs="Segoe UI"/>
                <w:color w:val="215E99"/>
              </w:rPr>
              <w:t> </w:t>
            </w:r>
          </w:p>
        </w:tc>
      </w:tr>
      <w:tr w:rsidR="6F2F9FE7" w14:paraId="3FAAD48E" w14:textId="77777777" w:rsidTr="100955F1">
        <w:trPr>
          <w:trHeight w:val="300"/>
        </w:trPr>
        <w:tc>
          <w:tcPr>
            <w:tcW w:w="534" w:type="dxa"/>
            <w:tcMar>
              <w:left w:w="105" w:type="dxa"/>
              <w:right w:w="105" w:type="dxa"/>
            </w:tcMar>
          </w:tcPr>
          <w:p w14:paraId="32261385" w14:textId="71F21882" w:rsidR="0EEA308A" w:rsidRDefault="0EEA308A" w:rsidP="6F2F9FE7">
            <w:pPr>
              <w:rPr>
                <w:rFonts w:ascii="Aptos" w:eastAsia="Aptos" w:hAnsi="Aptos" w:cs="Aptos"/>
              </w:rPr>
            </w:pPr>
            <w:r w:rsidRPr="6F2F9FE7">
              <w:rPr>
                <w:rFonts w:ascii="Aptos" w:eastAsia="Aptos" w:hAnsi="Aptos" w:cs="Aptos"/>
              </w:rPr>
              <w:t>5.</w:t>
            </w:r>
          </w:p>
        </w:tc>
        <w:tc>
          <w:tcPr>
            <w:tcW w:w="4134" w:type="dxa"/>
            <w:tcMar>
              <w:left w:w="105" w:type="dxa"/>
              <w:right w:w="105" w:type="dxa"/>
            </w:tcMar>
          </w:tcPr>
          <w:p w14:paraId="565EC0A5" w14:textId="73AA0F1E" w:rsidR="0EEA308A" w:rsidRDefault="00EB373E" w:rsidP="6F2F9FE7">
            <w:pPr>
              <w:rPr>
                <w:rFonts w:ascii="Aptos" w:eastAsia="Aptos" w:hAnsi="Aptos" w:cs="Aptos"/>
              </w:rPr>
            </w:pPr>
            <w:r>
              <w:rPr>
                <w:rFonts w:ascii="Aptos" w:eastAsia="Aptos" w:hAnsi="Aptos" w:cs="Aptos"/>
              </w:rPr>
              <w:t>Under the Technical and Professional Ability</w:t>
            </w:r>
            <w:r w:rsidR="004D5E58">
              <w:rPr>
                <w:rFonts w:ascii="Aptos" w:eastAsia="Aptos" w:hAnsi="Aptos" w:cs="Aptos"/>
              </w:rPr>
              <w:t xml:space="preserve"> Criteria, c</w:t>
            </w:r>
            <w:r w:rsidR="00706DC4" w:rsidRPr="00706DC4">
              <w:rPr>
                <w:rFonts w:ascii="Aptos" w:eastAsia="Aptos" w:hAnsi="Aptos" w:cs="Aptos"/>
              </w:rPr>
              <w:t>an you confirm if the 2 page limit is for the section "Taking account of the features of the contract / scope of the framework agreement, please provide information demonstrating comparability with the contract / framework being awarded under this procurement: " only for each reference and does NOT take into account a detailed description section.</w:t>
            </w:r>
          </w:p>
        </w:tc>
        <w:tc>
          <w:tcPr>
            <w:tcW w:w="5247" w:type="dxa"/>
            <w:tcMar>
              <w:left w:w="105" w:type="dxa"/>
              <w:right w:w="105" w:type="dxa"/>
            </w:tcMar>
          </w:tcPr>
          <w:p w14:paraId="7B80E1E1" w14:textId="7F0B5391" w:rsidR="2143DD3B" w:rsidRDefault="004D5E58" w:rsidP="6F2F9FE7">
            <w:pPr>
              <w:rPr>
                <w:rFonts w:ascii="Aptos" w:eastAsia="Aptos" w:hAnsi="Aptos" w:cs="Aptos"/>
              </w:rPr>
            </w:pPr>
            <w:r>
              <w:rPr>
                <w:rFonts w:ascii="Aptos" w:eastAsia="Aptos" w:hAnsi="Aptos" w:cs="Aptos"/>
              </w:rPr>
              <w:t xml:space="preserve">The </w:t>
            </w:r>
            <w:r w:rsidR="00BF315B">
              <w:rPr>
                <w:rFonts w:ascii="Aptos" w:eastAsia="Aptos" w:hAnsi="Aptos" w:cs="Aptos"/>
              </w:rPr>
              <w:t>2-page</w:t>
            </w:r>
            <w:r>
              <w:rPr>
                <w:rFonts w:ascii="Aptos" w:eastAsia="Aptos" w:hAnsi="Aptos" w:cs="Aptos"/>
              </w:rPr>
              <w:t xml:space="preserve"> limit </w:t>
            </w:r>
            <w:r w:rsidR="00BF315B">
              <w:rPr>
                <w:rFonts w:ascii="Aptos" w:eastAsia="Aptos" w:hAnsi="Aptos" w:cs="Aptos"/>
              </w:rPr>
              <w:t xml:space="preserve">is for the comparability </w:t>
            </w:r>
            <w:r w:rsidR="00AB37B0">
              <w:rPr>
                <w:rFonts w:ascii="Aptos" w:eastAsia="Aptos" w:hAnsi="Aptos" w:cs="Aptos"/>
              </w:rPr>
              <w:t>text</w:t>
            </w:r>
            <w:r w:rsidR="00BF315B">
              <w:rPr>
                <w:rFonts w:ascii="Aptos" w:eastAsia="Aptos" w:hAnsi="Aptos" w:cs="Aptos"/>
              </w:rPr>
              <w:t xml:space="preserve"> for each reference.</w:t>
            </w:r>
          </w:p>
        </w:tc>
      </w:tr>
      <w:tr w:rsidR="6F2F9FE7" w14:paraId="31CAC050" w14:textId="77777777" w:rsidTr="100955F1">
        <w:trPr>
          <w:trHeight w:val="300"/>
        </w:trPr>
        <w:tc>
          <w:tcPr>
            <w:tcW w:w="534" w:type="dxa"/>
            <w:tcMar>
              <w:left w:w="105" w:type="dxa"/>
              <w:right w:w="105" w:type="dxa"/>
            </w:tcMar>
          </w:tcPr>
          <w:p w14:paraId="1A8BF3F2" w14:textId="67B85C55" w:rsidR="0EEA308A" w:rsidRDefault="0EEA308A" w:rsidP="6F2F9FE7">
            <w:pPr>
              <w:rPr>
                <w:rFonts w:ascii="Aptos" w:eastAsia="Aptos" w:hAnsi="Aptos" w:cs="Aptos"/>
              </w:rPr>
            </w:pPr>
            <w:r w:rsidRPr="6F2F9FE7">
              <w:rPr>
                <w:rFonts w:ascii="Aptos" w:eastAsia="Aptos" w:hAnsi="Aptos" w:cs="Aptos"/>
              </w:rPr>
              <w:t>6.</w:t>
            </w:r>
          </w:p>
        </w:tc>
        <w:tc>
          <w:tcPr>
            <w:tcW w:w="4134" w:type="dxa"/>
            <w:tcMar>
              <w:left w:w="105" w:type="dxa"/>
              <w:right w:w="105" w:type="dxa"/>
            </w:tcMar>
          </w:tcPr>
          <w:p w14:paraId="21F90B58" w14:textId="5CB8161E" w:rsidR="0EEA308A" w:rsidRDefault="00BF5B42" w:rsidP="6F2F9FE7">
            <w:pPr>
              <w:rPr>
                <w:rFonts w:ascii="Aptos" w:eastAsia="Aptos" w:hAnsi="Aptos" w:cs="Aptos"/>
              </w:rPr>
            </w:pPr>
            <w:r w:rsidRPr="00BF5B42">
              <w:rPr>
                <w:rFonts w:ascii="Aptos" w:eastAsia="Aptos" w:hAnsi="Aptos" w:cs="Aptos"/>
              </w:rPr>
              <w:t>Can you please provide more detail on what ORCID information you want added/updated (scoped and endpoints - ref https://info.orcid.org/ufaqs/which-sections-can-i-add-to-or-update-on-an-orcid-record/). Also, please confirm whether the successful tenderer will be using the HRB ORCID member API key; or will the successful tenderer require their own membership? </w:t>
            </w:r>
          </w:p>
        </w:tc>
        <w:tc>
          <w:tcPr>
            <w:tcW w:w="5247" w:type="dxa"/>
            <w:tcMar>
              <w:left w:w="105" w:type="dxa"/>
              <w:right w:w="105" w:type="dxa"/>
            </w:tcMar>
          </w:tcPr>
          <w:p w14:paraId="7FB87494" w14:textId="77777777" w:rsidR="00550344" w:rsidRPr="00550344" w:rsidRDefault="00550344" w:rsidP="00550344">
            <w:pPr>
              <w:rPr>
                <w:rFonts w:ascii="Aptos" w:eastAsia="Aptos" w:hAnsi="Aptos" w:cs="Aptos"/>
              </w:rPr>
            </w:pPr>
            <w:r w:rsidRPr="00550344">
              <w:rPr>
                <w:rFonts w:ascii="Aptos" w:eastAsia="Aptos" w:hAnsi="Aptos" w:cs="Aptos"/>
              </w:rPr>
              <w:t>e integration with ORCID should be 2-way.  </w:t>
            </w:r>
          </w:p>
          <w:p w14:paraId="625D5DA8" w14:textId="77777777" w:rsidR="00550344" w:rsidRPr="00550344" w:rsidRDefault="00550344" w:rsidP="00550344">
            <w:pPr>
              <w:rPr>
                <w:rFonts w:ascii="Aptos" w:eastAsia="Aptos" w:hAnsi="Aptos" w:cs="Aptos"/>
              </w:rPr>
            </w:pPr>
            <w:r w:rsidRPr="00550344">
              <w:rPr>
                <w:rFonts w:ascii="Aptos" w:eastAsia="Aptos" w:hAnsi="Aptos" w:cs="Aptos"/>
              </w:rPr>
              <w:t>Pull Data: Requirements EU16 &amp; EU19 specify that the system should be able to pull data from ORCID to populate profile data for users.  </w:t>
            </w:r>
          </w:p>
          <w:p w14:paraId="32DED4AB" w14:textId="77777777" w:rsidR="00550344" w:rsidRPr="00550344" w:rsidRDefault="00550344" w:rsidP="00550344">
            <w:pPr>
              <w:rPr>
                <w:rFonts w:ascii="Aptos" w:eastAsia="Aptos" w:hAnsi="Aptos" w:cs="Aptos"/>
              </w:rPr>
            </w:pPr>
            <w:r w:rsidRPr="00550344">
              <w:rPr>
                <w:rFonts w:ascii="Aptos" w:eastAsia="Aptos" w:hAnsi="Aptos" w:cs="Aptos"/>
              </w:rPr>
              <w:t> </w:t>
            </w:r>
          </w:p>
          <w:p w14:paraId="29916769" w14:textId="77777777" w:rsidR="00550344" w:rsidRPr="00550344" w:rsidRDefault="00550344" w:rsidP="00550344">
            <w:pPr>
              <w:rPr>
                <w:rFonts w:ascii="Aptos" w:eastAsia="Aptos" w:hAnsi="Aptos" w:cs="Aptos"/>
              </w:rPr>
            </w:pPr>
            <w:r w:rsidRPr="00550344">
              <w:rPr>
                <w:rFonts w:ascii="Aptos" w:eastAsia="Aptos" w:hAnsi="Aptos" w:cs="Aptos"/>
              </w:rPr>
              <w:t>Push Data: Requirement GS70 specifies that the system should be able to push data to a user’s ORCID profile. The exact requirements will be agreed during the solution design stage with the successful tenderer but will primarily relate to Funding activities.  </w:t>
            </w:r>
          </w:p>
          <w:p w14:paraId="4A38DEF7" w14:textId="77777777" w:rsidR="00550344" w:rsidRPr="00550344" w:rsidRDefault="00550344" w:rsidP="00550344">
            <w:pPr>
              <w:rPr>
                <w:rFonts w:ascii="Aptos" w:eastAsia="Aptos" w:hAnsi="Aptos" w:cs="Aptos"/>
              </w:rPr>
            </w:pPr>
            <w:r w:rsidRPr="00550344">
              <w:rPr>
                <w:rFonts w:ascii="Aptos" w:eastAsia="Aptos" w:hAnsi="Aptos" w:cs="Aptos"/>
              </w:rPr>
              <w:t> </w:t>
            </w:r>
          </w:p>
          <w:p w14:paraId="02CE8FF0" w14:textId="77777777" w:rsidR="00550344" w:rsidRPr="00550344" w:rsidRDefault="00550344" w:rsidP="00550344">
            <w:pPr>
              <w:rPr>
                <w:rFonts w:ascii="Aptos" w:eastAsia="Aptos" w:hAnsi="Aptos" w:cs="Aptos"/>
              </w:rPr>
            </w:pPr>
            <w:r w:rsidRPr="00550344">
              <w:rPr>
                <w:rFonts w:ascii="Aptos" w:eastAsia="Aptos" w:hAnsi="Aptos" w:cs="Aptos"/>
              </w:rPr>
              <w:t xml:space="preserve">For API integration, </w:t>
            </w:r>
            <w:proofErr w:type="spellStart"/>
            <w:r w:rsidRPr="00550344">
              <w:rPr>
                <w:rFonts w:ascii="Aptos" w:eastAsia="Aptos" w:hAnsi="Aptos" w:cs="Aptos"/>
              </w:rPr>
              <w:t>ORCiD</w:t>
            </w:r>
            <w:proofErr w:type="spellEnd"/>
            <w:r w:rsidRPr="00550344">
              <w:rPr>
                <w:rFonts w:ascii="Aptos" w:eastAsia="Aptos" w:hAnsi="Aptos" w:cs="Aptos"/>
              </w:rPr>
              <w:t xml:space="preserve"> requires the certification of each system as a service provider (</w:t>
            </w:r>
            <w:hyperlink r:id="rId7" w:tgtFrame="_blank" w:history="1">
              <w:r w:rsidRPr="00550344">
                <w:rPr>
                  <w:rStyle w:val="Hyperlink"/>
                  <w:rFonts w:ascii="Aptos" w:eastAsia="Aptos" w:hAnsi="Aptos" w:cs="Aptos"/>
                </w:rPr>
                <w:t>https://info.orcid.org/vendors-and-service-providers/csp-criteria-grant-facility-application-management-systems/</w:t>
              </w:r>
            </w:hyperlink>
            <w:r w:rsidRPr="00550344">
              <w:rPr>
                <w:rFonts w:ascii="Aptos" w:eastAsia="Aptos" w:hAnsi="Aptos" w:cs="Aptos"/>
              </w:rPr>
              <w:t>). This certification cannot be carried over between providers. The HRB will work with the successful tenderer to acquire the required key for the new system. </w:t>
            </w:r>
          </w:p>
          <w:p w14:paraId="4974945F" w14:textId="77777777" w:rsidR="00550344" w:rsidRPr="00550344" w:rsidRDefault="00550344" w:rsidP="00550344">
            <w:pPr>
              <w:rPr>
                <w:rFonts w:ascii="Aptos" w:eastAsia="Aptos" w:hAnsi="Aptos" w:cs="Aptos"/>
              </w:rPr>
            </w:pPr>
            <w:r w:rsidRPr="00550344">
              <w:rPr>
                <w:rFonts w:ascii="Aptos" w:eastAsia="Aptos" w:hAnsi="Aptos" w:cs="Aptos"/>
              </w:rPr>
              <w:t> </w:t>
            </w:r>
          </w:p>
          <w:p w14:paraId="0020F6BC" w14:textId="27697C01" w:rsidR="23BE44A2" w:rsidRDefault="23BE44A2" w:rsidP="6F2F9FE7">
            <w:pPr>
              <w:rPr>
                <w:rFonts w:ascii="Aptos" w:eastAsia="Aptos" w:hAnsi="Aptos" w:cs="Aptos"/>
              </w:rPr>
            </w:pPr>
          </w:p>
        </w:tc>
      </w:tr>
      <w:tr w:rsidR="4DA895AC" w14:paraId="60136F01" w14:textId="77777777" w:rsidTr="100955F1">
        <w:trPr>
          <w:trHeight w:val="300"/>
        </w:trPr>
        <w:tc>
          <w:tcPr>
            <w:tcW w:w="534" w:type="dxa"/>
            <w:tcMar>
              <w:left w:w="105" w:type="dxa"/>
              <w:right w:w="105" w:type="dxa"/>
            </w:tcMar>
          </w:tcPr>
          <w:p w14:paraId="487A59AF" w14:textId="5534017D" w:rsidR="4428FF09" w:rsidRDefault="4428FF09" w:rsidP="4DA895AC">
            <w:pPr>
              <w:rPr>
                <w:rFonts w:ascii="Aptos" w:eastAsia="Aptos" w:hAnsi="Aptos" w:cs="Aptos"/>
              </w:rPr>
            </w:pPr>
            <w:r w:rsidRPr="4DA895AC">
              <w:rPr>
                <w:rFonts w:ascii="Aptos" w:eastAsia="Aptos" w:hAnsi="Aptos" w:cs="Aptos"/>
              </w:rPr>
              <w:t>7.</w:t>
            </w:r>
          </w:p>
        </w:tc>
        <w:tc>
          <w:tcPr>
            <w:tcW w:w="4134" w:type="dxa"/>
            <w:tcMar>
              <w:left w:w="105" w:type="dxa"/>
              <w:right w:w="105" w:type="dxa"/>
            </w:tcMar>
          </w:tcPr>
          <w:p w14:paraId="69A572B3" w14:textId="3B1288EE" w:rsidR="4428FF09" w:rsidRDefault="00BF5B42" w:rsidP="4DA895AC">
            <w:pPr>
              <w:rPr>
                <w:rFonts w:ascii="Aptos" w:eastAsia="Aptos" w:hAnsi="Aptos" w:cs="Aptos"/>
              </w:rPr>
            </w:pPr>
            <w:r w:rsidRPr="00BF5B42">
              <w:rPr>
                <w:rFonts w:ascii="Aptos" w:eastAsia="Aptos" w:hAnsi="Aptos" w:cs="Aptos"/>
              </w:rPr>
              <w:t xml:space="preserve">In relation to the Call-Off Contract, Part 5 – Remedies, the contract indemnifies the Client for “all and any losses”, including indirect and consequential losses, with no cap - </w:t>
            </w:r>
            <w:r w:rsidRPr="00BF5B42">
              <w:rPr>
                <w:rFonts w:ascii="Aptos" w:eastAsia="Aptos" w:hAnsi="Aptos" w:cs="Aptos"/>
              </w:rPr>
              <w:lastRenderedPageBreak/>
              <w:t>would you be open to including a limitation of liability clause? </w:t>
            </w:r>
          </w:p>
        </w:tc>
        <w:tc>
          <w:tcPr>
            <w:tcW w:w="5247" w:type="dxa"/>
            <w:tcMar>
              <w:left w:w="105" w:type="dxa"/>
              <w:right w:w="105" w:type="dxa"/>
            </w:tcMar>
          </w:tcPr>
          <w:p w14:paraId="5E11C772" w14:textId="1801DD0F" w:rsidR="4DA895AC" w:rsidRDefault="00AB37B0" w:rsidP="4DA895AC">
            <w:pPr>
              <w:rPr>
                <w:rFonts w:ascii="Aptos" w:eastAsia="Aptos" w:hAnsi="Aptos" w:cs="Aptos"/>
              </w:rPr>
            </w:pPr>
            <w:r>
              <w:rPr>
                <w:rFonts w:ascii="Aptos" w:eastAsia="Aptos" w:hAnsi="Aptos" w:cs="Aptos"/>
              </w:rPr>
              <w:lastRenderedPageBreak/>
              <w:t>Further clarification to be published in due course.</w:t>
            </w:r>
          </w:p>
        </w:tc>
      </w:tr>
    </w:tbl>
    <w:p w14:paraId="3E6AAD3E" w14:textId="5A5B1646" w:rsidR="6F2F9FE7" w:rsidRDefault="6F2F9FE7"/>
    <w:p w14:paraId="79AF294C" w14:textId="034AFA4E" w:rsidR="00CA4816" w:rsidRDefault="00CA4816"/>
    <w:sectPr w:rsidR="00CA48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BD63CC"/>
    <w:rsid w:val="00007614"/>
    <w:rsid w:val="00017E05"/>
    <w:rsid w:val="00026EAD"/>
    <w:rsid w:val="000567FE"/>
    <w:rsid w:val="000B0639"/>
    <w:rsid w:val="000E407B"/>
    <w:rsid w:val="000E5AB7"/>
    <w:rsid w:val="000F5886"/>
    <w:rsid w:val="001647CC"/>
    <w:rsid w:val="00202B76"/>
    <w:rsid w:val="002231F3"/>
    <w:rsid w:val="002846C9"/>
    <w:rsid w:val="002A2E98"/>
    <w:rsid w:val="002A4E8C"/>
    <w:rsid w:val="002C0B42"/>
    <w:rsid w:val="002D53C9"/>
    <w:rsid w:val="003020F1"/>
    <w:rsid w:val="00317E1E"/>
    <w:rsid w:val="00372C55"/>
    <w:rsid w:val="003C100F"/>
    <w:rsid w:val="003F5236"/>
    <w:rsid w:val="00416D27"/>
    <w:rsid w:val="00436812"/>
    <w:rsid w:val="00447842"/>
    <w:rsid w:val="00451A7E"/>
    <w:rsid w:val="004944E5"/>
    <w:rsid w:val="00496FA2"/>
    <w:rsid w:val="004D5E58"/>
    <w:rsid w:val="0050489F"/>
    <w:rsid w:val="005126A8"/>
    <w:rsid w:val="00550344"/>
    <w:rsid w:val="0056062C"/>
    <w:rsid w:val="00574A57"/>
    <w:rsid w:val="0058648D"/>
    <w:rsid w:val="00595E76"/>
    <w:rsid w:val="0060457F"/>
    <w:rsid w:val="00631035"/>
    <w:rsid w:val="00634934"/>
    <w:rsid w:val="00661B21"/>
    <w:rsid w:val="0066216C"/>
    <w:rsid w:val="006726B3"/>
    <w:rsid w:val="006903CC"/>
    <w:rsid w:val="006E128E"/>
    <w:rsid w:val="006F4A4E"/>
    <w:rsid w:val="0070176B"/>
    <w:rsid w:val="00706DC4"/>
    <w:rsid w:val="00715B2A"/>
    <w:rsid w:val="00792B7E"/>
    <w:rsid w:val="007A4295"/>
    <w:rsid w:val="007A6159"/>
    <w:rsid w:val="007E312D"/>
    <w:rsid w:val="00822A64"/>
    <w:rsid w:val="008E48CD"/>
    <w:rsid w:val="008F473D"/>
    <w:rsid w:val="00924708"/>
    <w:rsid w:val="00963006"/>
    <w:rsid w:val="009B4CE6"/>
    <w:rsid w:val="009D5590"/>
    <w:rsid w:val="009F6085"/>
    <w:rsid w:val="00A10B24"/>
    <w:rsid w:val="00A9494E"/>
    <w:rsid w:val="00AB37B0"/>
    <w:rsid w:val="00AB6B6A"/>
    <w:rsid w:val="00AE4A6F"/>
    <w:rsid w:val="00B24114"/>
    <w:rsid w:val="00B421DC"/>
    <w:rsid w:val="00B42D48"/>
    <w:rsid w:val="00B57E59"/>
    <w:rsid w:val="00B67D53"/>
    <w:rsid w:val="00BA7908"/>
    <w:rsid w:val="00BB3A52"/>
    <w:rsid w:val="00BD08E6"/>
    <w:rsid w:val="00BF315B"/>
    <w:rsid w:val="00BF5B42"/>
    <w:rsid w:val="00C14AEB"/>
    <w:rsid w:val="00C52974"/>
    <w:rsid w:val="00C65835"/>
    <w:rsid w:val="00CA4816"/>
    <w:rsid w:val="00CBF536"/>
    <w:rsid w:val="00CC7122"/>
    <w:rsid w:val="00D047DD"/>
    <w:rsid w:val="00D15797"/>
    <w:rsid w:val="00D24124"/>
    <w:rsid w:val="00D962F9"/>
    <w:rsid w:val="00DF0C69"/>
    <w:rsid w:val="00E2674F"/>
    <w:rsid w:val="00E35939"/>
    <w:rsid w:val="00E61B87"/>
    <w:rsid w:val="00EB373E"/>
    <w:rsid w:val="00ED132D"/>
    <w:rsid w:val="00F22AB9"/>
    <w:rsid w:val="00F33D8A"/>
    <w:rsid w:val="00F53270"/>
    <w:rsid w:val="00F711E1"/>
    <w:rsid w:val="00FE30FF"/>
    <w:rsid w:val="010EC9A9"/>
    <w:rsid w:val="01225AD1"/>
    <w:rsid w:val="01F47CF5"/>
    <w:rsid w:val="01F4EECB"/>
    <w:rsid w:val="044F7920"/>
    <w:rsid w:val="04C587AE"/>
    <w:rsid w:val="0563CDEB"/>
    <w:rsid w:val="05E07E1C"/>
    <w:rsid w:val="06458D93"/>
    <w:rsid w:val="08927AA3"/>
    <w:rsid w:val="094C198F"/>
    <w:rsid w:val="0CBE8600"/>
    <w:rsid w:val="0D28A450"/>
    <w:rsid w:val="0D7CA2C2"/>
    <w:rsid w:val="0EEA308A"/>
    <w:rsid w:val="100955F1"/>
    <w:rsid w:val="113C6FD7"/>
    <w:rsid w:val="11F48573"/>
    <w:rsid w:val="12981C81"/>
    <w:rsid w:val="14A7473D"/>
    <w:rsid w:val="1567E995"/>
    <w:rsid w:val="159413C9"/>
    <w:rsid w:val="16162CE1"/>
    <w:rsid w:val="170A2330"/>
    <w:rsid w:val="1A659BC7"/>
    <w:rsid w:val="1A806D29"/>
    <w:rsid w:val="1D0D2FE2"/>
    <w:rsid w:val="1D2D3D94"/>
    <w:rsid w:val="1DB659FF"/>
    <w:rsid w:val="1E0C87B1"/>
    <w:rsid w:val="1EAC5C31"/>
    <w:rsid w:val="1F0A3E4F"/>
    <w:rsid w:val="1FAEB89F"/>
    <w:rsid w:val="1FF8B8AC"/>
    <w:rsid w:val="2052F9BB"/>
    <w:rsid w:val="207DF2A8"/>
    <w:rsid w:val="2143DD3B"/>
    <w:rsid w:val="21B2966F"/>
    <w:rsid w:val="229B9AEA"/>
    <w:rsid w:val="23BE44A2"/>
    <w:rsid w:val="24ADBEB5"/>
    <w:rsid w:val="24C7662D"/>
    <w:rsid w:val="2891F09F"/>
    <w:rsid w:val="294B74B2"/>
    <w:rsid w:val="2984878C"/>
    <w:rsid w:val="2D0FACA1"/>
    <w:rsid w:val="2D5AA706"/>
    <w:rsid w:val="2DBD63CC"/>
    <w:rsid w:val="302C6D20"/>
    <w:rsid w:val="30FB8C4D"/>
    <w:rsid w:val="32B01C6F"/>
    <w:rsid w:val="330ED6F8"/>
    <w:rsid w:val="331AA1AB"/>
    <w:rsid w:val="347FA3C4"/>
    <w:rsid w:val="37B8863C"/>
    <w:rsid w:val="388CD018"/>
    <w:rsid w:val="38D19323"/>
    <w:rsid w:val="3A78F27D"/>
    <w:rsid w:val="3B0EB3C0"/>
    <w:rsid w:val="3BC21882"/>
    <w:rsid w:val="3BE11306"/>
    <w:rsid w:val="3FCB7AF8"/>
    <w:rsid w:val="41200CF4"/>
    <w:rsid w:val="41DE1248"/>
    <w:rsid w:val="43B74A8A"/>
    <w:rsid w:val="4428FF09"/>
    <w:rsid w:val="4741AB4F"/>
    <w:rsid w:val="4C2FDDBB"/>
    <w:rsid w:val="4DA895AC"/>
    <w:rsid w:val="5133EE7A"/>
    <w:rsid w:val="514AEA22"/>
    <w:rsid w:val="51846920"/>
    <w:rsid w:val="53D955A0"/>
    <w:rsid w:val="543CF038"/>
    <w:rsid w:val="5592A1F6"/>
    <w:rsid w:val="56FD453A"/>
    <w:rsid w:val="573D93EB"/>
    <w:rsid w:val="5C10B755"/>
    <w:rsid w:val="5ED8B3B3"/>
    <w:rsid w:val="5EE6DB4A"/>
    <w:rsid w:val="5F38D48A"/>
    <w:rsid w:val="608A5912"/>
    <w:rsid w:val="61E2014E"/>
    <w:rsid w:val="62698188"/>
    <w:rsid w:val="63702CCC"/>
    <w:rsid w:val="6519355B"/>
    <w:rsid w:val="6558538D"/>
    <w:rsid w:val="65A66AED"/>
    <w:rsid w:val="66B79520"/>
    <w:rsid w:val="66B8AD48"/>
    <w:rsid w:val="66C62BFB"/>
    <w:rsid w:val="67CBCC77"/>
    <w:rsid w:val="6813BD38"/>
    <w:rsid w:val="68893F20"/>
    <w:rsid w:val="68DF3950"/>
    <w:rsid w:val="68FFE0DD"/>
    <w:rsid w:val="6964085E"/>
    <w:rsid w:val="69C37D51"/>
    <w:rsid w:val="6CD7AB6A"/>
    <w:rsid w:val="6D7DD45D"/>
    <w:rsid w:val="6DA1CE62"/>
    <w:rsid w:val="6E01A7B3"/>
    <w:rsid w:val="6F2F9FE7"/>
    <w:rsid w:val="714C6616"/>
    <w:rsid w:val="720D5999"/>
    <w:rsid w:val="720E2090"/>
    <w:rsid w:val="7268C38E"/>
    <w:rsid w:val="7319E2EF"/>
    <w:rsid w:val="7348D2B9"/>
    <w:rsid w:val="7368291B"/>
    <w:rsid w:val="74D8E493"/>
    <w:rsid w:val="77D1FEBD"/>
    <w:rsid w:val="7A34BCDA"/>
    <w:rsid w:val="7DCC599F"/>
    <w:rsid w:val="7FFB3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63CC"/>
  <w15:chartTrackingRefBased/>
  <w15:docId w15:val="{3AA6E42D-3328-4B18-A2BA-EB617C1A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9C37D51"/>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67D53"/>
    <w:rPr>
      <w:color w:val="605E5C"/>
      <w:shd w:val="clear" w:color="auto" w:fill="E1DFDD"/>
    </w:rPr>
  </w:style>
  <w:style w:type="paragraph" w:customStyle="1" w:styleId="paragraph">
    <w:name w:val="paragraph"/>
    <w:basedOn w:val="Normal"/>
    <w:rsid w:val="00550344"/>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550344"/>
  </w:style>
  <w:style w:type="character" w:customStyle="1" w:styleId="eop">
    <w:name w:val="eop"/>
    <w:basedOn w:val="DefaultParagraphFont"/>
    <w:rsid w:val="00550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info.orcid.org/vendors-and-service-providers/csp-criteria-grant-facility-application-management-syste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86340E3C95444878686C7128D8F59" ma:contentTypeVersion="13" ma:contentTypeDescription="Create a new document." ma:contentTypeScope="" ma:versionID="9a6eda4ea5cbfd7811e80bc774623c28">
  <xsd:schema xmlns:xsd="http://www.w3.org/2001/XMLSchema" xmlns:xs="http://www.w3.org/2001/XMLSchema" xmlns:p="http://schemas.microsoft.com/office/2006/metadata/properties" xmlns:ns2="47ac8687-5bc4-480e-8f6b-0d5fc6b065d2" xmlns:ns3="7b41fe4f-18ce-4705-8a0b-9750bce1dd0b" targetNamespace="http://schemas.microsoft.com/office/2006/metadata/properties" ma:root="true" ma:fieldsID="b896643ff20b6fb1b5535c8aef5ad809" ns2:_="" ns3:_="">
    <xsd:import namespace="47ac8687-5bc4-480e-8f6b-0d5fc6b065d2"/>
    <xsd:import namespace="7b41fe4f-18ce-4705-8a0b-9750bce1dd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c8687-5bc4-480e-8f6b-0d5fc6b06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66ae4-4697-44c6-9f9a-3cb9cf0906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1fe4f-18ce-4705-8a0b-9750bce1dd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3cd639e-95fc-4724-831c-cb6e38ddcf25}" ma:internalName="TaxCatchAll" ma:showField="CatchAllData" ma:web="7b41fe4f-18ce-4705-8a0b-9750bce1d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ac8687-5bc4-480e-8f6b-0d5fc6b065d2">
      <Terms xmlns="http://schemas.microsoft.com/office/infopath/2007/PartnerControls"/>
    </lcf76f155ced4ddcb4097134ff3c332f>
    <TaxCatchAll xmlns="7b41fe4f-18ce-4705-8a0b-9750bce1dd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A919E-CD9C-4DF5-8190-17F5FD136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c8687-5bc4-480e-8f6b-0d5fc6b065d2"/>
    <ds:schemaRef ds:uri="7b41fe4f-18ce-4705-8a0b-9750bce1d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42BAB-327B-480E-8B3D-63810FE81028}">
  <ds:schemaRef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134628e8-8dc7-4334-9282-f22ad4a94a78"/>
    <ds:schemaRef ds:uri="http://purl.org/dc/terms/"/>
    <ds:schemaRef ds:uri="47ac8687-5bc4-480e-8f6b-0d5fc6b065d2"/>
    <ds:schemaRef ds:uri="7b41fe4f-18ce-4705-8a0b-9750bce1dd0b"/>
  </ds:schemaRefs>
</ds:datastoreItem>
</file>

<file path=customXml/itemProps3.xml><?xml version="1.0" encoding="utf-8"?>
<ds:datastoreItem xmlns:ds="http://schemas.openxmlformats.org/officeDocument/2006/customXml" ds:itemID="{9DCA9227-E25C-45C5-A45B-9EC3701E0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3961</Characters>
  <Application>Microsoft Office Word</Application>
  <DocSecurity>0</DocSecurity>
  <Lines>33</Lines>
  <Paragraphs>9</Paragraphs>
  <ScaleCrop>false</ScaleCrop>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Lynch</dc:creator>
  <cp:keywords/>
  <dc:description/>
  <cp:lastModifiedBy>Aisling Lynch</cp:lastModifiedBy>
  <cp:revision>2</cp:revision>
  <dcterms:created xsi:type="dcterms:W3CDTF">2025-11-13T11:37:00Z</dcterms:created>
  <dcterms:modified xsi:type="dcterms:W3CDTF">2025-11-13T11:37:00Z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0x010100FCC86340E3C95444878686C7128D8F59</vt:lpwstr>
  </property>
  <property fmtid="{D5CDD505-2E9C-101B-9397-08002B2CF9AE}" pid="3" name="MediaServiceImageTags">
    <vt:lpwstr/>
  </property>
</Properties>
</file>