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60A32" w14:textId="713CF91D" w:rsidR="000660E9" w:rsidRDefault="000660E9" w:rsidP="000660E9">
      <w:pPr>
        <w:jc w:val="center"/>
        <w:rPr>
          <w:rFonts w:ascii="Arial" w:eastAsia="Arial" w:hAnsi="Arial" w:cs="Arial"/>
          <w:sz w:val="28"/>
          <w:szCs w:val="28"/>
        </w:rPr>
      </w:pPr>
    </w:p>
    <w:p w14:paraId="581AE92F" w14:textId="77F16B77" w:rsidR="000660E9" w:rsidRDefault="000660E9" w:rsidP="000660E9">
      <w:pPr>
        <w:jc w:val="center"/>
      </w:pPr>
    </w:p>
    <w:p w14:paraId="1B70A4E4" w14:textId="011AFD8A" w:rsidR="000660E9" w:rsidRDefault="000660E9" w:rsidP="000660E9">
      <w:pPr>
        <w:jc w:val="center"/>
        <w:rPr>
          <w:rFonts w:ascii="Arial" w:eastAsia="Arial" w:hAnsi="Arial" w:cs="Arial"/>
          <w:sz w:val="28"/>
          <w:szCs w:val="28"/>
        </w:rPr>
      </w:pPr>
      <w:r w:rsidRPr="3756B6F4">
        <w:rPr>
          <w:rFonts w:ascii="Arial" w:eastAsia="Arial" w:hAnsi="Arial" w:cs="Arial"/>
          <w:sz w:val="28"/>
          <w:szCs w:val="28"/>
        </w:rPr>
        <w:t xml:space="preserve">      </w:t>
      </w:r>
    </w:p>
    <w:p w14:paraId="2F7BF9E0" w14:textId="77777777" w:rsidR="00E710C2" w:rsidRDefault="00E710C2" w:rsidP="000660E9">
      <w:pPr>
        <w:jc w:val="center"/>
        <w:rPr>
          <w:rFonts w:ascii="Arial" w:eastAsia="Arial" w:hAnsi="Arial" w:cs="Arial"/>
          <w:sz w:val="28"/>
          <w:szCs w:val="28"/>
        </w:rPr>
      </w:pPr>
    </w:p>
    <w:p w14:paraId="4B729020" w14:textId="566D0595" w:rsidR="000660E9" w:rsidRDefault="000660E9" w:rsidP="000660E9">
      <w:pPr>
        <w:jc w:val="center"/>
        <w:rPr>
          <w:rFonts w:ascii="Arial" w:eastAsia="Arial" w:hAnsi="Arial" w:cs="Arial"/>
          <w:sz w:val="28"/>
          <w:szCs w:val="28"/>
        </w:rPr>
      </w:pPr>
      <w:r>
        <w:rPr>
          <w:rFonts w:ascii="Arial" w:eastAsia="Arial" w:hAnsi="Arial" w:cs="Arial"/>
          <w:sz w:val="28"/>
          <w:szCs w:val="28"/>
        </w:rPr>
        <w:t xml:space="preserve">  </w:t>
      </w:r>
    </w:p>
    <w:p w14:paraId="414BD48F" w14:textId="77777777" w:rsidR="00A7548F" w:rsidRDefault="00CE2031" w:rsidP="00A7548F">
      <w:pPr>
        <w:ind w:right="-2"/>
        <w:jc w:val="center"/>
        <w:rPr>
          <w:rFonts w:ascii="Calibri" w:eastAsia="Arial" w:hAnsi="Calibri" w:cs="Calibri"/>
          <w:b/>
          <w:bCs/>
          <w:spacing w:val="-1"/>
          <w:sz w:val="48"/>
          <w:szCs w:val="48"/>
        </w:rPr>
      </w:pPr>
      <w:r w:rsidRPr="00D46888">
        <w:rPr>
          <w:rFonts w:ascii="Calibri" w:eastAsia="Arial" w:hAnsi="Calibri" w:cs="Calibri"/>
          <w:b/>
          <w:bCs/>
          <w:spacing w:val="-1"/>
          <w:sz w:val="48"/>
          <w:szCs w:val="48"/>
        </w:rPr>
        <w:t>Project Information Memorandum</w:t>
      </w:r>
    </w:p>
    <w:p w14:paraId="722A5E8B" w14:textId="36EE29C1" w:rsidR="00A7548F" w:rsidRDefault="00A7548F" w:rsidP="00A7548F">
      <w:pPr>
        <w:ind w:right="-2"/>
        <w:jc w:val="center"/>
        <w:rPr>
          <w:rFonts w:ascii="Calibri" w:eastAsia="Arial" w:hAnsi="Calibri" w:cs="Calibri"/>
          <w:b/>
          <w:bCs/>
          <w:spacing w:val="-1"/>
          <w:sz w:val="48"/>
          <w:szCs w:val="48"/>
        </w:rPr>
      </w:pPr>
      <w:r>
        <w:rPr>
          <w:rFonts w:ascii="Calibri" w:eastAsia="Arial" w:hAnsi="Calibri" w:cs="Calibri"/>
          <w:b/>
          <w:bCs/>
          <w:spacing w:val="-1"/>
          <w:sz w:val="48"/>
          <w:szCs w:val="48"/>
        </w:rPr>
        <w:t>and</w:t>
      </w:r>
    </w:p>
    <w:p w14:paraId="359E0886" w14:textId="13C1A65F" w:rsidR="00A7548F" w:rsidRPr="00D46888" w:rsidRDefault="00A7548F" w:rsidP="00CE2031">
      <w:pPr>
        <w:ind w:right="-2"/>
        <w:jc w:val="center"/>
        <w:rPr>
          <w:rFonts w:ascii="Calibri" w:eastAsia="Arial" w:hAnsi="Calibri" w:cs="Calibri"/>
          <w:b/>
          <w:bCs/>
          <w:spacing w:val="-1"/>
          <w:sz w:val="48"/>
          <w:szCs w:val="48"/>
        </w:rPr>
      </w:pPr>
      <w:r>
        <w:rPr>
          <w:rFonts w:ascii="Calibri" w:eastAsia="Arial" w:hAnsi="Calibri" w:cs="Calibri"/>
          <w:b/>
          <w:bCs/>
          <w:spacing w:val="-1"/>
          <w:sz w:val="48"/>
          <w:szCs w:val="48"/>
        </w:rPr>
        <w:t>Scope of Services</w:t>
      </w:r>
    </w:p>
    <w:p w14:paraId="0F43B86A" w14:textId="77777777" w:rsidR="00CE2031" w:rsidRPr="00D46888" w:rsidRDefault="00CE2031" w:rsidP="00CE2031">
      <w:pPr>
        <w:ind w:right="-2"/>
        <w:jc w:val="center"/>
        <w:rPr>
          <w:rFonts w:ascii="Calibri" w:eastAsia="Arial" w:hAnsi="Calibri" w:cs="Calibri"/>
          <w:b/>
          <w:bCs/>
          <w:spacing w:val="-1"/>
          <w:sz w:val="48"/>
          <w:szCs w:val="48"/>
        </w:rPr>
      </w:pPr>
    </w:p>
    <w:p w14:paraId="3F26421F" w14:textId="77777777" w:rsidR="00A7548F" w:rsidRPr="00A7548F" w:rsidRDefault="00A7548F" w:rsidP="00A7548F">
      <w:pPr>
        <w:ind w:right="-2"/>
        <w:jc w:val="center"/>
        <w:rPr>
          <w:rFonts w:ascii="Calibri" w:eastAsia="Arial" w:hAnsi="Calibri" w:cs="Calibri"/>
          <w:spacing w:val="-1"/>
          <w:sz w:val="32"/>
          <w:szCs w:val="32"/>
          <w:lang w:val="en-US"/>
        </w:rPr>
      </w:pPr>
      <w:r w:rsidRPr="00A7548F">
        <w:rPr>
          <w:rFonts w:ascii="Calibri" w:eastAsia="Arial" w:hAnsi="Calibri" w:cs="Calibri"/>
          <w:spacing w:val="-1"/>
          <w:sz w:val="32"/>
          <w:szCs w:val="32"/>
          <w:lang w:val="en-US"/>
        </w:rPr>
        <w:t>Establishment of a Single-Operator Framework Agreement</w:t>
      </w:r>
    </w:p>
    <w:p w14:paraId="40167585" w14:textId="4FA2D454" w:rsidR="00A7548F" w:rsidRDefault="00A7548F" w:rsidP="00A7548F">
      <w:pPr>
        <w:ind w:right="-2"/>
        <w:jc w:val="center"/>
        <w:rPr>
          <w:rFonts w:ascii="Calibri" w:eastAsia="Arial" w:hAnsi="Calibri" w:cs="Calibri"/>
          <w:spacing w:val="-1"/>
          <w:sz w:val="32"/>
          <w:szCs w:val="32"/>
          <w:lang w:val="en-US"/>
        </w:rPr>
      </w:pPr>
      <w:r w:rsidRPr="00A7548F">
        <w:rPr>
          <w:rFonts w:ascii="Calibri" w:eastAsia="Arial" w:hAnsi="Calibri" w:cs="Calibri"/>
          <w:spacing w:val="-1"/>
          <w:sz w:val="32"/>
          <w:szCs w:val="32"/>
          <w:lang w:val="en-US"/>
        </w:rPr>
        <w:t>for Reinstatement Cost Consultancy Services</w:t>
      </w:r>
    </w:p>
    <w:p w14:paraId="34B88D62" w14:textId="77777777" w:rsidR="00A7548F" w:rsidRPr="00D46888" w:rsidRDefault="00A7548F" w:rsidP="00A7548F">
      <w:pPr>
        <w:ind w:right="-2"/>
        <w:jc w:val="center"/>
        <w:rPr>
          <w:rFonts w:ascii="Calibri" w:eastAsia="Arial" w:hAnsi="Calibri" w:cs="Calibri"/>
          <w:b/>
          <w:bCs/>
          <w:spacing w:val="-1"/>
          <w:sz w:val="48"/>
          <w:szCs w:val="48"/>
        </w:rPr>
      </w:pPr>
    </w:p>
    <w:p w14:paraId="12F65110" w14:textId="77777777" w:rsidR="00E0283A" w:rsidRDefault="00E0283A" w:rsidP="00CE2031">
      <w:pPr>
        <w:ind w:right="-2"/>
        <w:jc w:val="center"/>
        <w:rPr>
          <w:rFonts w:ascii="Calibri" w:eastAsia="Arial" w:hAnsi="Calibri" w:cs="Calibri"/>
          <w:spacing w:val="-1"/>
          <w:sz w:val="32"/>
          <w:szCs w:val="32"/>
        </w:rPr>
      </w:pPr>
    </w:p>
    <w:p w14:paraId="766EFDA0" w14:textId="77777777" w:rsidR="0069191A" w:rsidRDefault="0069191A" w:rsidP="00CE2031">
      <w:pPr>
        <w:ind w:right="-2"/>
        <w:jc w:val="center"/>
        <w:rPr>
          <w:rFonts w:ascii="Calibri" w:eastAsia="Arial" w:hAnsi="Calibri" w:cs="Calibri"/>
          <w:b/>
          <w:bCs/>
          <w:spacing w:val="-1"/>
          <w:sz w:val="32"/>
          <w:szCs w:val="32"/>
        </w:rPr>
      </w:pPr>
    </w:p>
    <w:p w14:paraId="18A69A0A" w14:textId="77777777" w:rsidR="00CC594E" w:rsidRPr="00144CD2" w:rsidRDefault="00CC594E" w:rsidP="00CE2031">
      <w:pPr>
        <w:ind w:right="-2"/>
        <w:jc w:val="center"/>
        <w:rPr>
          <w:rFonts w:ascii="Calibri" w:eastAsia="Arial" w:hAnsi="Calibri" w:cs="Calibri"/>
          <w:b/>
          <w:bCs/>
          <w:spacing w:val="-1"/>
          <w:sz w:val="32"/>
          <w:szCs w:val="32"/>
        </w:rPr>
      </w:pPr>
    </w:p>
    <w:tbl>
      <w:tblPr>
        <w:tblStyle w:val="TableGrid"/>
        <w:tblW w:w="0" w:type="auto"/>
        <w:tblLook w:val="04A0" w:firstRow="1" w:lastRow="0" w:firstColumn="1" w:lastColumn="0" w:noHBand="0" w:noVBand="1"/>
      </w:tblPr>
      <w:tblGrid>
        <w:gridCol w:w="4508"/>
        <w:gridCol w:w="4508"/>
      </w:tblGrid>
      <w:tr w:rsidR="00A7548F" w14:paraId="4FC4BAF8" w14:textId="77777777" w:rsidTr="3756B6F4">
        <w:trPr>
          <w:cnfStyle w:val="100000000000" w:firstRow="1" w:lastRow="0" w:firstColumn="0" w:lastColumn="0" w:oddVBand="0" w:evenVBand="0" w:oddHBand="0" w:evenHBand="0" w:firstRowFirstColumn="0" w:firstRowLastColumn="0" w:lastRowFirstColumn="0" w:lastRowLastColumn="0"/>
        </w:trPr>
        <w:tc>
          <w:tcPr>
            <w:tcW w:w="4508" w:type="dxa"/>
          </w:tcPr>
          <w:p w14:paraId="0FAC37DF" w14:textId="071FD368" w:rsidR="00A7548F" w:rsidRDefault="00A7548F" w:rsidP="00BC3528">
            <w:pPr>
              <w:pStyle w:val="Body"/>
              <w:rPr>
                <w:rFonts w:cs="Calibri"/>
                <w:b/>
                <w:sz w:val="24"/>
                <w:szCs w:val="24"/>
                <w:lang w:val="en-IE"/>
              </w:rPr>
            </w:pPr>
            <w:r>
              <w:rPr>
                <w:rFonts w:cs="Calibri"/>
                <w:b/>
                <w:sz w:val="24"/>
                <w:szCs w:val="24"/>
                <w:lang w:val="en-IE"/>
              </w:rPr>
              <w:t>Scope of Framework</w:t>
            </w:r>
          </w:p>
        </w:tc>
        <w:tc>
          <w:tcPr>
            <w:tcW w:w="4508" w:type="dxa"/>
          </w:tcPr>
          <w:p w14:paraId="5CE81D9B" w14:textId="796F7ED6" w:rsidR="00A7548F" w:rsidRDefault="00A7548F" w:rsidP="00BC3528">
            <w:pPr>
              <w:pStyle w:val="Body"/>
              <w:rPr>
                <w:rFonts w:cs="Calibri"/>
                <w:sz w:val="24"/>
                <w:szCs w:val="24"/>
                <w:lang w:val="en-IE"/>
              </w:rPr>
            </w:pPr>
            <w:r w:rsidRPr="00A7548F">
              <w:rPr>
                <w:rFonts w:cs="Calibri"/>
                <w:sz w:val="24"/>
                <w:szCs w:val="24"/>
                <w:lang w:val="en-US"/>
              </w:rPr>
              <w:t>Reinstatement Cost Consultancy Services</w:t>
            </w:r>
          </w:p>
        </w:tc>
      </w:tr>
      <w:tr w:rsidR="00A7548F" w14:paraId="6EC0AE0A" w14:textId="77777777" w:rsidTr="3756B6F4">
        <w:tc>
          <w:tcPr>
            <w:tcW w:w="4508" w:type="dxa"/>
          </w:tcPr>
          <w:p w14:paraId="49459901" w14:textId="6E89DA27" w:rsidR="00A7548F" w:rsidRDefault="00A7548F" w:rsidP="3756B6F4">
            <w:pPr>
              <w:pStyle w:val="Body"/>
              <w:rPr>
                <w:rFonts w:cs="Calibri"/>
                <w:b/>
                <w:bCs/>
                <w:sz w:val="24"/>
                <w:szCs w:val="24"/>
                <w:lang w:val="en-IE"/>
              </w:rPr>
            </w:pPr>
            <w:r w:rsidRPr="3756B6F4">
              <w:rPr>
                <w:rFonts w:cs="Calibri"/>
                <w:b/>
                <w:bCs/>
                <w:sz w:val="24"/>
                <w:szCs w:val="24"/>
                <w:lang w:val="en-IE"/>
              </w:rPr>
              <w:t>Reference</w:t>
            </w:r>
          </w:p>
        </w:tc>
        <w:tc>
          <w:tcPr>
            <w:tcW w:w="4508" w:type="dxa"/>
          </w:tcPr>
          <w:p w14:paraId="20C801A8" w14:textId="10C785C5" w:rsidR="00A7548F" w:rsidRDefault="395D3ADF" w:rsidP="3756B6F4">
            <w:pPr>
              <w:pStyle w:val="Body"/>
              <w:rPr>
                <w:rFonts w:cs="Calibri"/>
              </w:rPr>
            </w:pPr>
            <w:r w:rsidRPr="3756B6F4">
              <w:rPr>
                <w:rFonts w:cs="Calibri"/>
              </w:rPr>
              <w:t>LOT 1:</w:t>
            </w:r>
            <w:r w:rsidR="00932FE7">
              <w:rPr>
                <w:rFonts w:cs="Calibri"/>
              </w:rPr>
              <w:t xml:space="preserve"> </w:t>
            </w:r>
            <w:r w:rsidR="00B544A1">
              <w:rPr>
                <w:rFonts w:cs="Calibri"/>
              </w:rPr>
              <w:t>University College Dublin</w:t>
            </w:r>
            <w:r w:rsidR="00217104">
              <w:rPr>
                <w:rFonts w:cs="Calibri"/>
              </w:rPr>
              <w:t xml:space="preserve"> – UCDOPP5531</w:t>
            </w:r>
          </w:p>
          <w:p w14:paraId="14D28AF6" w14:textId="77777777" w:rsidR="00A075AF" w:rsidRDefault="395D3ADF" w:rsidP="00A075AF">
            <w:pPr>
              <w:pStyle w:val="Body"/>
              <w:rPr>
                <w:rFonts w:cs="Calibri"/>
              </w:rPr>
            </w:pPr>
            <w:r w:rsidRPr="3756B6F4">
              <w:rPr>
                <w:rFonts w:cs="Calibri"/>
              </w:rPr>
              <w:t>LOT 2:</w:t>
            </w:r>
            <w:r w:rsidR="00932FE7">
              <w:rPr>
                <w:rFonts w:cs="Calibri"/>
              </w:rPr>
              <w:t xml:space="preserve"> </w:t>
            </w:r>
            <w:r w:rsidR="00A075AF">
              <w:rPr>
                <w:rFonts w:cs="Calibri"/>
              </w:rPr>
              <w:t xml:space="preserve">University of Limerick – UL0997 </w:t>
            </w:r>
          </w:p>
          <w:p w14:paraId="0E0B9E32" w14:textId="56E6B4AD" w:rsidR="00C0019B" w:rsidRPr="00B0776E" w:rsidRDefault="00B0776E" w:rsidP="00A075AF">
            <w:pPr>
              <w:pStyle w:val="Body"/>
              <w:rPr>
                <w:rFonts w:cs="Calibri"/>
              </w:rPr>
            </w:pPr>
            <w:r w:rsidRPr="3756B6F4">
              <w:rPr>
                <w:rFonts w:cs="Calibri"/>
              </w:rPr>
              <w:t xml:space="preserve">LOT </w:t>
            </w:r>
            <w:r>
              <w:rPr>
                <w:rFonts w:cs="Calibri"/>
              </w:rPr>
              <w:t>3</w:t>
            </w:r>
            <w:r w:rsidRPr="3756B6F4">
              <w:rPr>
                <w:rFonts w:cs="Calibri"/>
              </w:rPr>
              <w:t>:</w:t>
            </w:r>
            <w:r w:rsidR="00932FE7">
              <w:rPr>
                <w:rFonts w:cs="Calibri"/>
              </w:rPr>
              <w:t xml:space="preserve"> </w:t>
            </w:r>
            <w:r w:rsidR="00A075AF">
              <w:rPr>
                <w:rFonts w:cs="Calibri"/>
              </w:rPr>
              <w:t>University of Galway – BUILD/1317/2025</w:t>
            </w:r>
          </w:p>
        </w:tc>
      </w:tr>
      <w:tr w:rsidR="00A7548F" w14:paraId="7CB8DE5F" w14:textId="77777777" w:rsidTr="3756B6F4">
        <w:tc>
          <w:tcPr>
            <w:tcW w:w="4508" w:type="dxa"/>
          </w:tcPr>
          <w:p w14:paraId="70E1B994" w14:textId="5FEDA30B" w:rsidR="00A7548F" w:rsidRDefault="00A7548F" w:rsidP="00BC3528">
            <w:pPr>
              <w:pStyle w:val="Body"/>
              <w:rPr>
                <w:rFonts w:cs="Calibri"/>
                <w:b/>
                <w:sz w:val="24"/>
                <w:szCs w:val="24"/>
                <w:lang w:val="en-IE"/>
              </w:rPr>
            </w:pPr>
            <w:r w:rsidRPr="00A7548F">
              <w:rPr>
                <w:rFonts w:cs="Calibri"/>
                <w:b/>
                <w:sz w:val="24"/>
                <w:szCs w:val="24"/>
                <w:lang w:val="en-US"/>
              </w:rPr>
              <w:t>Procedure</w:t>
            </w:r>
          </w:p>
        </w:tc>
        <w:tc>
          <w:tcPr>
            <w:tcW w:w="4508" w:type="dxa"/>
          </w:tcPr>
          <w:p w14:paraId="1E995E06" w14:textId="0774CA26" w:rsidR="00A7548F" w:rsidRDefault="00A7548F" w:rsidP="00BC3528">
            <w:pPr>
              <w:pStyle w:val="Body"/>
              <w:rPr>
                <w:rFonts w:cs="Calibri"/>
                <w:sz w:val="24"/>
                <w:szCs w:val="24"/>
                <w:lang w:val="en-IE"/>
              </w:rPr>
            </w:pPr>
            <w:r>
              <w:rPr>
                <w:rFonts w:cs="Calibri"/>
                <w:sz w:val="24"/>
                <w:szCs w:val="24"/>
                <w:lang w:val="en-IE"/>
              </w:rPr>
              <w:t>Open</w:t>
            </w:r>
          </w:p>
        </w:tc>
      </w:tr>
      <w:tr w:rsidR="00957184" w14:paraId="056C6523" w14:textId="77777777" w:rsidTr="3756B6F4">
        <w:tc>
          <w:tcPr>
            <w:tcW w:w="4508" w:type="dxa"/>
          </w:tcPr>
          <w:p w14:paraId="3F55DF4B" w14:textId="77777777" w:rsidR="00957184" w:rsidRDefault="00957184" w:rsidP="00BC3528">
            <w:pPr>
              <w:pStyle w:val="Body"/>
              <w:rPr>
                <w:rFonts w:cs="Calibri"/>
                <w:b/>
                <w:sz w:val="24"/>
                <w:szCs w:val="24"/>
                <w:lang w:val="en-IE"/>
              </w:rPr>
            </w:pPr>
            <w:r>
              <w:rPr>
                <w:rFonts w:cs="Calibri"/>
                <w:b/>
                <w:sz w:val="24"/>
                <w:szCs w:val="24"/>
                <w:lang w:val="en-IE"/>
              </w:rPr>
              <w:t>Issue Date</w:t>
            </w:r>
          </w:p>
        </w:tc>
        <w:tc>
          <w:tcPr>
            <w:tcW w:w="4508" w:type="dxa"/>
          </w:tcPr>
          <w:p w14:paraId="5C640DA5" w14:textId="720FCDF6" w:rsidR="00957184" w:rsidRDefault="003B6E04" w:rsidP="00BC3528">
            <w:pPr>
              <w:pStyle w:val="Body"/>
              <w:rPr>
                <w:rFonts w:cs="Calibri"/>
                <w:sz w:val="24"/>
                <w:szCs w:val="24"/>
                <w:lang w:val="en-IE"/>
              </w:rPr>
            </w:pPr>
            <w:r>
              <w:rPr>
                <w:rFonts w:cs="Calibri"/>
                <w:sz w:val="24"/>
                <w:szCs w:val="24"/>
                <w:lang w:val="en-IE"/>
              </w:rPr>
              <w:t>25/07</w:t>
            </w:r>
            <w:r w:rsidR="00EC2639">
              <w:rPr>
                <w:rFonts w:cs="Calibri"/>
                <w:sz w:val="24"/>
                <w:szCs w:val="24"/>
                <w:lang w:val="en-IE"/>
              </w:rPr>
              <w:t>/2025</w:t>
            </w:r>
          </w:p>
        </w:tc>
      </w:tr>
      <w:tr w:rsidR="00957184" w14:paraId="6E6AB9D1" w14:textId="77777777" w:rsidTr="3756B6F4">
        <w:tc>
          <w:tcPr>
            <w:tcW w:w="4508" w:type="dxa"/>
          </w:tcPr>
          <w:p w14:paraId="47D4E0E7" w14:textId="77777777" w:rsidR="00957184" w:rsidRPr="0056489D" w:rsidRDefault="00957184" w:rsidP="00BC3528">
            <w:pPr>
              <w:pStyle w:val="Body"/>
              <w:spacing w:after="120"/>
              <w:rPr>
                <w:rFonts w:cs="Calibri"/>
                <w:b/>
                <w:sz w:val="24"/>
                <w:szCs w:val="24"/>
                <w:lang w:val="en-IE"/>
              </w:rPr>
            </w:pPr>
            <w:r w:rsidRPr="0056489D">
              <w:rPr>
                <w:rFonts w:cs="Calibri"/>
                <w:b/>
                <w:sz w:val="24"/>
                <w:szCs w:val="24"/>
                <w:lang w:val="en-IE"/>
              </w:rPr>
              <w:t xml:space="preserve">Deadline for </w:t>
            </w:r>
            <w:r>
              <w:rPr>
                <w:rFonts w:cs="Calibri"/>
                <w:b/>
                <w:sz w:val="24"/>
                <w:szCs w:val="24"/>
                <w:lang w:val="en-IE"/>
              </w:rPr>
              <w:t xml:space="preserve">Receipt of </w:t>
            </w:r>
            <w:r w:rsidRPr="0056489D">
              <w:rPr>
                <w:rFonts w:cs="Calibri"/>
                <w:b/>
                <w:sz w:val="24"/>
                <w:szCs w:val="24"/>
                <w:lang w:val="en-IE"/>
              </w:rPr>
              <w:t xml:space="preserve">Queries </w:t>
            </w:r>
          </w:p>
          <w:p w14:paraId="4CC4DAC1" w14:textId="77777777" w:rsidR="00957184" w:rsidRPr="0056489D" w:rsidRDefault="00957184" w:rsidP="00BC3528">
            <w:pPr>
              <w:pStyle w:val="Body"/>
              <w:spacing w:after="120"/>
              <w:rPr>
                <w:rFonts w:cs="Calibri"/>
                <w:b/>
                <w:sz w:val="24"/>
                <w:szCs w:val="24"/>
                <w:lang w:val="en-IE"/>
              </w:rPr>
            </w:pPr>
            <w:r w:rsidRPr="0056489D">
              <w:rPr>
                <w:rFonts w:cs="Calibri"/>
                <w:b/>
                <w:sz w:val="24"/>
                <w:szCs w:val="24"/>
                <w:lang w:val="en-IE"/>
              </w:rPr>
              <w:t>(via www.etenders.gov.ie)</w:t>
            </w:r>
          </w:p>
        </w:tc>
        <w:tc>
          <w:tcPr>
            <w:tcW w:w="4508" w:type="dxa"/>
          </w:tcPr>
          <w:p w14:paraId="3708F9FA" w14:textId="56A98FF7" w:rsidR="00957184" w:rsidRPr="00FE2661" w:rsidRDefault="006A4479" w:rsidP="00BC3528">
            <w:pPr>
              <w:pStyle w:val="Body"/>
              <w:rPr>
                <w:sz w:val="24"/>
                <w:lang w:val="en-IE"/>
              </w:rPr>
            </w:pPr>
            <w:r>
              <w:rPr>
                <w:sz w:val="24"/>
                <w:lang w:val="en-IE"/>
              </w:rPr>
              <w:t>1</w:t>
            </w:r>
            <w:r w:rsidR="0069617A">
              <w:rPr>
                <w:sz w:val="24"/>
                <w:lang w:val="en-IE"/>
              </w:rPr>
              <w:t>5</w:t>
            </w:r>
            <w:r>
              <w:rPr>
                <w:sz w:val="24"/>
                <w:lang w:val="en-IE"/>
              </w:rPr>
              <w:t>/08/2025</w:t>
            </w:r>
            <w:r w:rsidR="00957184" w:rsidRPr="0056489D">
              <w:rPr>
                <w:sz w:val="24"/>
                <w:lang w:val="en-IE"/>
              </w:rPr>
              <w:t xml:space="preserve"> 202</w:t>
            </w:r>
            <w:r w:rsidR="001B380E">
              <w:rPr>
                <w:sz w:val="24"/>
                <w:lang w:val="en-IE"/>
              </w:rPr>
              <w:t>5</w:t>
            </w:r>
            <w:r w:rsidR="00957184" w:rsidRPr="0056489D">
              <w:rPr>
                <w:sz w:val="24"/>
                <w:lang w:val="en-IE"/>
              </w:rPr>
              <w:t xml:space="preserve"> at </w:t>
            </w:r>
            <w:r w:rsidR="00AA7215">
              <w:rPr>
                <w:sz w:val="24"/>
                <w:lang w:val="en-IE"/>
              </w:rPr>
              <w:t>1</w:t>
            </w:r>
            <w:r>
              <w:rPr>
                <w:sz w:val="24"/>
                <w:lang w:val="en-IE"/>
              </w:rPr>
              <w:t>2</w:t>
            </w:r>
            <w:r w:rsidR="00AA7215">
              <w:rPr>
                <w:sz w:val="24"/>
                <w:lang w:val="en-IE"/>
              </w:rPr>
              <w:t>:00pm</w:t>
            </w:r>
            <w:r w:rsidR="00957184" w:rsidRPr="0056489D">
              <w:rPr>
                <w:sz w:val="24"/>
                <w:lang w:val="en-IE"/>
              </w:rPr>
              <w:t xml:space="preserve"> GMT</w:t>
            </w:r>
          </w:p>
        </w:tc>
      </w:tr>
      <w:tr w:rsidR="00957184" w14:paraId="0561C060" w14:textId="77777777" w:rsidTr="3756B6F4">
        <w:tc>
          <w:tcPr>
            <w:tcW w:w="4508" w:type="dxa"/>
          </w:tcPr>
          <w:p w14:paraId="0F678A81" w14:textId="77777777" w:rsidR="00957184" w:rsidRPr="0056489D" w:rsidRDefault="00957184" w:rsidP="00BC3528">
            <w:pPr>
              <w:pStyle w:val="Body"/>
              <w:spacing w:after="120" w:line="240" w:lineRule="auto"/>
              <w:rPr>
                <w:rFonts w:cs="Calibri"/>
                <w:b/>
                <w:sz w:val="24"/>
                <w:szCs w:val="24"/>
                <w:lang w:val="en-IE"/>
              </w:rPr>
            </w:pPr>
            <w:r w:rsidRPr="0056489D">
              <w:rPr>
                <w:rFonts w:cs="Calibri"/>
                <w:b/>
                <w:sz w:val="24"/>
                <w:szCs w:val="24"/>
                <w:lang w:val="en-IE"/>
              </w:rPr>
              <w:t xml:space="preserve">Tender </w:t>
            </w:r>
            <w:r>
              <w:rPr>
                <w:rFonts w:cs="Calibri"/>
                <w:b/>
                <w:sz w:val="24"/>
                <w:szCs w:val="24"/>
                <w:lang w:val="en-IE"/>
              </w:rPr>
              <w:t xml:space="preserve">Submission </w:t>
            </w:r>
            <w:r w:rsidRPr="0056489D">
              <w:rPr>
                <w:rFonts w:cs="Calibri"/>
                <w:b/>
                <w:sz w:val="24"/>
                <w:szCs w:val="24"/>
                <w:lang w:val="en-IE"/>
              </w:rPr>
              <w:t xml:space="preserve">Deadline </w:t>
            </w:r>
          </w:p>
          <w:p w14:paraId="123928D8" w14:textId="77777777" w:rsidR="00957184" w:rsidRPr="0056489D" w:rsidRDefault="00957184" w:rsidP="00BC3528">
            <w:pPr>
              <w:pStyle w:val="Body"/>
              <w:spacing w:after="120" w:line="240" w:lineRule="auto"/>
              <w:rPr>
                <w:rFonts w:cs="Calibri"/>
                <w:b/>
                <w:sz w:val="24"/>
                <w:szCs w:val="24"/>
                <w:lang w:val="en-IE"/>
              </w:rPr>
            </w:pPr>
            <w:r w:rsidRPr="0056489D">
              <w:rPr>
                <w:rFonts w:cs="Calibri"/>
                <w:b/>
                <w:sz w:val="24"/>
                <w:szCs w:val="24"/>
                <w:lang w:val="en-IE"/>
              </w:rPr>
              <w:t>(via www.etenders.gov.ie)</w:t>
            </w:r>
          </w:p>
        </w:tc>
        <w:tc>
          <w:tcPr>
            <w:tcW w:w="4508" w:type="dxa"/>
          </w:tcPr>
          <w:p w14:paraId="35E09FDD" w14:textId="0ED838F3" w:rsidR="00957184" w:rsidRPr="0056489D" w:rsidRDefault="0069617A" w:rsidP="00BC3528">
            <w:pPr>
              <w:pStyle w:val="Body"/>
              <w:rPr>
                <w:rFonts w:cs="Calibri"/>
                <w:sz w:val="24"/>
                <w:szCs w:val="24"/>
                <w:lang w:val="en-IE"/>
              </w:rPr>
            </w:pPr>
            <w:r>
              <w:rPr>
                <w:sz w:val="24"/>
                <w:lang w:val="en-IE"/>
              </w:rPr>
              <w:t>29</w:t>
            </w:r>
            <w:r w:rsidR="006A4479">
              <w:rPr>
                <w:sz w:val="24"/>
                <w:lang w:val="en-IE"/>
              </w:rPr>
              <w:t>/08/2025</w:t>
            </w:r>
            <w:r w:rsidR="00A7548F" w:rsidRPr="0056489D">
              <w:rPr>
                <w:sz w:val="24"/>
                <w:lang w:val="en-IE"/>
              </w:rPr>
              <w:t xml:space="preserve"> 202</w:t>
            </w:r>
            <w:r w:rsidR="00A7548F">
              <w:rPr>
                <w:sz w:val="24"/>
                <w:lang w:val="en-IE"/>
              </w:rPr>
              <w:t>5</w:t>
            </w:r>
            <w:r w:rsidR="00A7548F" w:rsidRPr="0056489D">
              <w:rPr>
                <w:sz w:val="24"/>
                <w:lang w:val="en-IE"/>
              </w:rPr>
              <w:t xml:space="preserve"> </w:t>
            </w:r>
            <w:r w:rsidR="00957184" w:rsidRPr="0056489D">
              <w:rPr>
                <w:sz w:val="24"/>
                <w:lang w:val="en-IE"/>
              </w:rPr>
              <w:t xml:space="preserve">at </w:t>
            </w:r>
            <w:r w:rsidR="00AA7215">
              <w:rPr>
                <w:sz w:val="24"/>
                <w:lang w:val="en-IE"/>
              </w:rPr>
              <w:t>1</w:t>
            </w:r>
            <w:r w:rsidR="006A4479">
              <w:rPr>
                <w:sz w:val="24"/>
                <w:lang w:val="en-IE"/>
              </w:rPr>
              <w:t>2</w:t>
            </w:r>
            <w:r w:rsidR="00957184" w:rsidRPr="0056489D">
              <w:rPr>
                <w:sz w:val="24"/>
                <w:lang w:val="en-IE"/>
              </w:rPr>
              <w:t>.00pm GMT</w:t>
            </w:r>
          </w:p>
        </w:tc>
      </w:tr>
    </w:tbl>
    <w:p w14:paraId="0EF0DB3F" w14:textId="77777777" w:rsidR="00CE2031" w:rsidRDefault="00CE2031" w:rsidP="00CE2031">
      <w:pPr>
        <w:rPr>
          <w:rFonts w:ascii="Calibri" w:eastAsia="Arial" w:hAnsi="Calibri" w:cs="Calibri"/>
          <w:sz w:val="28"/>
          <w:szCs w:val="28"/>
        </w:rPr>
      </w:pPr>
    </w:p>
    <w:p w14:paraId="37A517D3" w14:textId="709ABC1F" w:rsidR="000660E9" w:rsidRPr="0069191A" w:rsidRDefault="000660E9" w:rsidP="0069191A">
      <w:pPr>
        <w:rPr>
          <w:rFonts w:ascii="Calibri" w:eastAsia="Arial" w:hAnsi="Calibri" w:cs="Calibri"/>
          <w:sz w:val="28"/>
          <w:szCs w:val="28"/>
        </w:rPr>
      </w:pPr>
    </w:p>
    <w:p w14:paraId="7F39E23B" w14:textId="77777777" w:rsidR="000660E9" w:rsidRDefault="000660E9" w:rsidP="004C1430">
      <w:pPr>
        <w:pStyle w:val="BodyText"/>
        <w:rPr>
          <w:noProof/>
        </w:rPr>
      </w:pPr>
    </w:p>
    <w:p w14:paraId="1EA88E26" w14:textId="2B03A0CA" w:rsidR="00F12DD7" w:rsidRDefault="00D54666" w:rsidP="004C1430">
      <w:pPr>
        <w:pStyle w:val="BodyText"/>
        <w:sectPr w:rsidR="00F12DD7" w:rsidSect="004E43B0">
          <w:headerReference w:type="default" r:id="rId11"/>
          <w:footerReference w:type="default" r:id="rId12"/>
          <w:pgSz w:w="11906" w:h="16838" w:code="9"/>
          <w:pgMar w:top="1134" w:right="1440" w:bottom="851" w:left="1440" w:header="709" w:footer="284" w:gutter="0"/>
          <w:cols w:space="708"/>
          <w:docGrid w:linePitch="360"/>
        </w:sectPr>
      </w:pPr>
      <w:r>
        <w:rPr>
          <w:noProof/>
          <w:lang w:val="en-IE" w:eastAsia="en-IE"/>
        </w:rPr>
        <mc:AlternateContent>
          <mc:Choice Requires="wps">
            <w:drawing>
              <wp:anchor distT="0" distB="0" distL="114300" distR="114300" simplePos="0" relativeHeight="251658241" behindDoc="0" locked="0" layoutInCell="0" allowOverlap="1" wp14:anchorId="194ADB0E" wp14:editId="4AA43215">
                <wp:simplePos x="0" y="0"/>
                <wp:positionH relativeFrom="column">
                  <wp:posOffset>0</wp:posOffset>
                </wp:positionH>
                <wp:positionV relativeFrom="page">
                  <wp:posOffset>357447</wp:posOffset>
                </wp:positionV>
                <wp:extent cx="4284345" cy="271780"/>
                <wp:effectExtent l="0" t="0" r="1905" b="13970"/>
                <wp:wrapNone/>
                <wp:docPr id="4" name="CoverAdditionalCompan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4345" cy="271780"/>
                        </a:xfrm>
                        <a:prstGeom prst="rect">
                          <a:avLst/>
                        </a:prstGeom>
                        <a:noFill/>
                        <a:ln w="9525">
                          <a:noFill/>
                          <a:miter lim="800000"/>
                          <a:headEnd/>
                          <a:tailEnd/>
                        </a:ln>
                      </wps:spPr>
                      <wps:txbx>
                        <w:txbxContent>
                          <w:bookmarkStart w:id="0" w:name="Cover2"/>
                          <w:bookmarkStart w:id="1" w:name="Start"/>
                          <w:bookmarkStart w:id="2" w:name="DRAFT"/>
                          <w:p w14:paraId="5EA4306B" w14:textId="772AC5AE" w:rsidR="00184160" w:rsidRPr="00F74319" w:rsidRDefault="00184160" w:rsidP="00F83749">
                            <w:pPr>
                              <w:pStyle w:val="Subtitleheading"/>
                              <w:rPr>
                                <w:b/>
                                <w:sz w:val="36"/>
                                <w:szCs w:val="36"/>
                              </w:rPr>
                            </w:pPr>
                            <w:r w:rsidRPr="0061745A">
                              <w:rPr>
                                <w:b/>
                                <w:color w:val="FFFFFF"/>
                                <w:sz w:val="36"/>
                                <w:szCs w:val="36"/>
                              </w:rPr>
                              <w:fldChar w:fldCharType="begin"/>
                            </w:r>
                            <w:r w:rsidRPr="0061745A">
                              <w:rPr>
                                <w:b/>
                                <w:color w:val="FFFFFF"/>
                                <w:sz w:val="36"/>
                                <w:szCs w:val="36"/>
                              </w:rPr>
                              <w:instrText xml:space="preserve"> DOCPROPERTY  Draft \* MERGEFORMAT </w:instrText>
                            </w:r>
                            <w:r w:rsidRPr="0061745A">
                              <w:rPr>
                                <w:b/>
                                <w:color w:val="FFFFFF"/>
                                <w:sz w:val="36"/>
                                <w:szCs w:val="36"/>
                              </w:rPr>
                              <w:fldChar w:fldCharType="separate"/>
                            </w:r>
                            <w:r>
                              <w:rPr>
                                <w:b/>
                                <w:color w:val="FFFFFF"/>
                                <w:sz w:val="36"/>
                                <w:szCs w:val="36"/>
                              </w:rPr>
                              <w:t xml:space="preserve"> </w:t>
                            </w:r>
                            <w:r w:rsidRPr="0061745A">
                              <w:rPr>
                                <w:b/>
                                <w:color w:val="FFFFFF"/>
                                <w:sz w:val="36"/>
                                <w:szCs w:val="36"/>
                              </w:rPr>
                              <w:fldChar w:fldCharType="end"/>
                            </w:r>
                            <w:r w:rsidRPr="0061745A">
                              <w:rPr>
                                <w:b/>
                                <w:color w:val="FFFFFF"/>
                                <w:sz w:val="36"/>
                                <w:szCs w:val="36"/>
                              </w:rPr>
                              <w:t xml:space="preserve"> </w:t>
                            </w:r>
                            <w:bookmarkEnd w:id="0"/>
                            <w:bookmarkEnd w:id="1"/>
                            <w:bookmarkEnd w:id="2"/>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4ADB0E" id="_x0000_t202" coordsize="21600,21600" o:spt="202" path="m,l,21600r21600,l21600,xe">
                <v:stroke joinstyle="miter"/>
                <v:path gradientshapeok="t" o:connecttype="rect"/>
              </v:shapetype>
              <v:shape id="CoverAdditionalCompany" o:spid="_x0000_s1026" type="#_x0000_t202" style="position:absolute;left:0;text-align:left;margin-left:0;margin-top:28.15pt;width:337.35pt;height:21.4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" o:allowincell="f" filled="f" stroked="f">
                <v:textbox style="mso-fit-shape-to-text:t" inset="0,0,0,0">
                  <w:txbxContent>
                    <w:bookmarkStart w:id="3" w:name="Cover2"/>
                    <w:bookmarkStart w:id="4" w:name="Start"/>
                    <w:bookmarkStart w:id="5" w:name="DRAFT"/>
                    <w:p w14:paraId="5EA4306B" w14:textId="772AC5AE" w:rsidR="00184160" w:rsidRPr="00F74319" w:rsidRDefault="00184160" w:rsidP="00F83749">
                      <w:pPr>
                        <w:pStyle w:val="Subtitleheading"/>
                        <w:rPr>
                          <w:b/>
                          <w:sz w:val="36"/>
                          <w:szCs w:val="36"/>
                        </w:rPr>
                      </w:pPr>
                      <w:r w:rsidRPr="0061745A">
                        <w:rPr>
                          <w:b/>
                          <w:color w:val="FFFFFF"/>
                          <w:sz w:val="36"/>
                          <w:szCs w:val="36"/>
                        </w:rPr>
                        <w:fldChar w:fldCharType="begin"/>
                      </w:r>
                      <w:r w:rsidRPr="0061745A">
                        <w:rPr>
                          <w:b/>
                          <w:color w:val="FFFFFF"/>
                          <w:sz w:val="36"/>
                          <w:szCs w:val="36"/>
                        </w:rPr>
                        <w:instrText xml:space="preserve"> DOCPROPERTY  Draft \* MERGEFORMAT </w:instrText>
                      </w:r>
                      <w:r w:rsidRPr="0061745A">
                        <w:rPr>
                          <w:b/>
                          <w:color w:val="FFFFFF"/>
                          <w:sz w:val="36"/>
                          <w:szCs w:val="36"/>
                        </w:rPr>
                        <w:fldChar w:fldCharType="separate"/>
                      </w:r>
                      <w:r>
                        <w:rPr>
                          <w:b/>
                          <w:color w:val="FFFFFF"/>
                          <w:sz w:val="36"/>
                          <w:szCs w:val="36"/>
                        </w:rPr>
                        <w:t xml:space="preserve"> </w:t>
                      </w:r>
                      <w:r w:rsidRPr="0061745A">
                        <w:rPr>
                          <w:b/>
                          <w:color w:val="FFFFFF"/>
                          <w:sz w:val="36"/>
                          <w:szCs w:val="36"/>
                        </w:rPr>
                        <w:fldChar w:fldCharType="end"/>
                      </w:r>
                      <w:r w:rsidRPr="0061745A">
                        <w:rPr>
                          <w:b/>
                          <w:color w:val="FFFFFF"/>
                          <w:sz w:val="36"/>
                          <w:szCs w:val="36"/>
                        </w:rPr>
                        <w:t xml:space="preserve"> </w:t>
                      </w:r>
                      <w:bookmarkEnd w:id="3"/>
                      <w:bookmarkEnd w:id="4"/>
                      <w:bookmarkEnd w:id="5"/>
                    </w:p>
                  </w:txbxContent>
                </v:textbox>
                <w10:wrap anchory="page"/>
              </v:shape>
            </w:pict>
          </mc:Fallback>
        </mc:AlternateContent>
      </w:r>
      <w:r w:rsidR="00EF62EF">
        <w:rPr>
          <w:noProof/>
          <w:lang w:val="en-IE" w:eastAsia="en-IE"/>
        </w:rPr>
        <mc:AlternateContent>
          <mc:Choice Requires="wps">
            <w:drawing>
              <wp:anchor distT="0" distB="0" distL="114300" distR="114300" simplePos="0" relativeHeight="251658240" behindDoc="0" locked="0" layoutInCell="0" allowOverlap="1" wp14:anchorId="3BCEBC39" wp14:editId="731A14FD">
                <wp:simplePos x="0" y="0"/>
                <wp:positionH relativeFrom="column">
                  <wp:posOffset>0</wp:posOffset>
                </wp:positionH>
                <wp:positionV relativeFrom="page">
                  <wp:align>bottom</wp:align>
                </wp:positionV>
                <wp:extent cx="6134100" cy="1353960"/>
                <wp:effectExtent l="0" t="0" r="10160" b="0"/>
                <wp:wrapNone/>
                <wp:docPr id="307" name="CoverFooter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353960"/>
                        </a:xfrm>
                        <a:prstGeom prst="rect">
                          <a:avLst/>
                        </a:prstGeom>
                        <a:noFill/>
                        <a:ln w="9525">
                          <a:noFill/>
                          <a:miter lim="800000"/>
                          <a:headEnd/>
                          <a:tailEnd/>
                        </a:ln>
                      </wps:spPr>
                      <wps:txbx>
                        <w:txbxContent>
                          <w:tbl>
                            <w:tblPr>
                              <w:tblStyle w:val="Plaingrid"/>
                              <w:tblW w:w="5000" w:type="pct"/>
                              <w:tblCellMar>
                                <w:right w:w="0" w:type="dxa"/>
                              </w:tblCellMar>
                              <w:tblLook w:val="04A0" w:firstRow="1" w:lastRow="0" w:firstColumn="1" w:lastColumn="0" w:noHBand="0" w:noVBand="1"/>
                            </w:tblPr>
                            <w:tblGrid>
                              <w:gridCol w:w="2781"/>
                              <w:gridCol w:w="3089"/>
                              <w:gridCol w:w="3791"/>
                            </w:tblGrid>
                            <w:tr w:rsidR="00184160" w:rsidRPr="0061745A" w14:paraId="31A57BCE" w14:textId="77777777" w:rsidTr="00BA08E0">
                              <w:trPr>
                                <w:trHeight w:val="1554"/>
                              </w:trPr>
                              <w:tc>
                                <w:tcPr>
                                  <w:tcW w:w="1439" w:type="pct"/>
                                  <w:vAlign w:val="bottom"/>
                                </w:tcPr>
                                <w:bookmarkStart w:id="6" w:name="Cover3" w:colFirst="0" w:colLast="2"/>
                                <w:bookmarkStart w:id="7" w:name="CoverTable2"/>
                                <w:p w14:paraId="6DFD5374" w14:textId="21889CAC" w:rsidR="00184160" w:rsidRPr="0061745A" w:rsidRDefault="00184160" w:rsidP="008A19FD">
                                  <w:pPr>
                                    <w:pStyle w:val="Coverfooter"/>
                                    <w:rPr>
                                      <w:color w:val="FFFFFF"/>
                                    </w:rPr>
                                  </w:pPr>
                                  <w:r w:rsidRPr="0061745A">
                                    <w:rPr>
                                      <w:color w:val="FFFFFF"/>
                                    </w:rPr>
                                    <w:fldChar w:fldCharType="begin"/>
                                  </w:r>
                                  <w:r w:rsidRPr="0061745A">
                                    <w:rPr>
                                      <w:color w:val="FFFFFF"/>
                                    </w:rPr>
                                    <w:instrText xml:space="preserve"> DOCPROPERTY  FooterClientAddress \* MERGEFORMAT </w:instrText>
                                  </w:r>
                                  <w:r w:rsidRPr="0061745A">
                                    <w:rPr>
                                      <w:color w:val="FFFFFF"/>
                                    </w:rPr>
                                    <w:fldChar w:fldCharType="end"/>
                                  </w:r>
                                </w:p>
                              </w:tc>
                              <w:tc>
                                <w:tcPr>
                                  <w:tcW w:w="1598" w:type="pct"/>
                                  <w:vAlign w:val="bottom"/>
                                </w:tcPr>
                                <w:p w14:paraId="2A7768AD" w14:textId="45FF8CF5" w:rsidR="00184160" w:rsidRPr="0061745A" w:rsidRDefault="00184160" w:rsidP="00BA5047">
                                  <w:pPr>
                                    <w:pStyle w:val="Coverfooter"/>
                                    <w:jc w:val="center"/>
                                    <w:rPr>
                                      <w:b/>
                                      <w:caps/>
                                      <w:color w:val="FFFFFF"/>
                                      <w:sz w:val="18"/>
                                      <w:szCs w:val="18"/>
                                    </w:rPr>
                                  </w:pPr>
                                  <w:r w:rsidRPr="0061745A">
                                    <w:rPr>
                                      <w:b/>
                                      <w:caps/>
                                      <w:color w:val="FFFFFF"/>
                                      <w:sz w:val="18"/>
                                      <w:szCs w:val="18"/>
                                    </w:rPr>
                                    <w:fldChar w:fldCharType="begin"/>
                                  </w:r>
                                  <w:r w:rsidRPr="0061745A">
                                    <w:rPr>
                                      <w:b/>
                                      <w:caps/>
                                      <w:color w:val="FFFFFF"/>
                                      <w:sz w:val="18"/>
                                      <w:szCs w:val="18"/>
                                    </w:rPr>
                                    <w:instrText xml:space="preserve"> DOCPROPERTY  ProtectiveMarking \* MERGEFORMAT </w:instrText>
                                  </w:r>
                                  <w:r w:rsidRPr="0061745A">
                                    <w:rPr>
                                      <w:b/>
                                      <w:caps/>
                                      <w:color w:val="FFFFFF"/>
                                      <w:sz w:val="18"/>
                                      <w:szCs w:val="18"/>
                                    </w:rPr>
                                    <w:fldChar w:fldCharType="end"/>
                                  </w:r>
                                </w:p>
                                <w:p w14:paraId="41F77F1A" w14:textId="6902E97F" w:rsidR="00184160" w:rsidRPr="0061745A" w:rsidRDefault="00184160" w:rsidP="00BA5047">
                                  <w:pPr>
                                    <w:pStyle w:val="Coverfooter"/>
                                    <w:jc w:val="center"/>
                                    <w:rPr>
                                      <w:color w:val="FFFFFF"/>
                                    </w:rPr>
                                  </w:pPr>
                                  <w:r w:rsidRPr="0061745A">
                                    <w:rPr>
                                      <w:color w:val="FFFFFF"/>
                                    </w:rPr>
                                    <w:fldChar w:fldCharType="begin"/>
                                  </w:r>
                                  <w:r w:rsidRPr="0061745A">
                                    <w:rPr>
                                      <w:color w:val="FFFFFF"/>
                                    </w:rPr>
                                    <w:instrText xml:space="preserve"> DOCPROPERTY  Copies \* MERGEFORMAT </w:instrText>
                                  </w:r>
                                  <w:r w:rsidRPr="0061745A">
                                    <w:rPr>
                                      <w:color w:val="FFFFFF"/>
                                    </w:rPr>
                                    <w:fldChar w:fldCharType="end"/>
                                  </w:r>
                                </w:p>
                              </w:tc>
                              <w:tc>
                                <w:tcPr>
                                  <w:tcW w:w="1962" w:type="pct"/>
                                  <w:vAlign w:val="bottom"/>
                                </w:tcPr>
                                <w:p w14:paraId="4ED3E282" w14:textId="4AAE8795" w:rsidR="00184160" w:rsidRPr="0061745A" w:rsidRDefault="00184160" w:rsidP="00D50E1B">
                                  <w:pPr>
                                    <w:pStyle w:val="Coverfooter"/>
                                    <w:jc w:val="right"/>
                                    <w:rPr>
                                      <w:color w:val="FFFFFF"/>
                                    </w:rPr>
                                  </w:pPr>
                                  <w:bookmarkStart w:id="8" w:name="TagLine"/>
                                  <w:r w:rsidRPr="0061745A">
                                    <w:rPr>
                                      <w:rFonts w:ascii="Arial" w:hAnsi="Arial" w:cs="Arial"/>
                                      <w:noProof/>
                                      <w:color w:val="000000"/>
                                    </w:rPr>
                                    <w:drawing>
                                      <wp:inline distT="0" distB="0" distL="0" distR="0" wp14:anchorId="24944196" wp14:editId="66A4E4E4">
                                        <wp:extent cx="1813498" cy="170016"/>
                                        <wp:effectExtent l="0" t="0" r="0" b="1905"/>
                                        <wp:docPr id="16" name="Graphic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1921744" cy="180164"/>
                                                </a:xfrm>
                                                <a:prstGeom prst="rect">
                                                  <a:avLst/>
                                                </a:prstGeom>
                                              </pic:spPr>
                                            </pic:pic>
                                          </a:graphicData>
                                        </a:graphic>
                                      </wp:inline>
                                    </w:drawing>
                                  </w:r>
                                  <w:bookmarkEnd w:id="8"/>
                                </w:p>
                              </w:tc>
                            </w:tr>
                            <w:bookmarkEnd w:id="6"/>
                            <w:bookmarkEnd w:id="7"/>
                          </w:tbl>
                          <w:p w14:paraId="348B5ADD" w14:textId="77777777" w:rsidR="00184160" w:rsidRDefault="00184160" w:rsidP="00DA79BC"/>
                        </w:txbxContent>
                      </wps:txbx>
                      <wps:bodyPr rot="0" vert="horz" wrap="square" lIns="0" tIns="0" rIns="0" bIns="36000" anchor="t" anchorCtr="0">
                        <a:noAutofit/>
                      </wps:bodyPr>
                    </wps:wsp>
                  </a:graphicData>
                </a:graphic>
                <wp14:sizeRelH relativeFrom="page">
                  <wp14:pctWidth>81000</wp14:pctWidth>
                </wp14:sizeRelH>
                <wp14:sizeRelV relativeFrom="margin">
                  <wp14:pctHeight>0</wp14:pctHeight>
                </wp14:sizeRelV>
              </wp:anchor>
            </w:drawing>
          </mc:Choice>
          <mc:Fallback>
            <w:pict>
              <v:shape w14:anchorId="3BCEBC39" id="CoverFooterBox" o:spid="_x0000_s1027" type="#_x0000_t202" style="position:absolute;left:0;text-align:left;margin-left:0;margin-top:0;width:483pt;height:106.6pt;z-index:251658240;visibility:visible;mso-wrap-style:square;mso-width-percent:810;mso-height-percent:0;mso-wrap-distance-left:9pt;mso-wrap-distance-top:0;mso-wrap-distance-right:9pt;mso-wrap-distance-bottom:0;mso-position-horizontal:absolute;mso-position-horizontal-relative:text;mso-position-vertical:bottom;mso-position-vertical-relative:page;mso-width-percent:81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" o:allowincell="f" filled="f" stroked="f">
                <v:textbox inset="0,0,0,1mm">
                  <w:txbxContent>
                    <w:tbl>
                      <w:tblPr>
                        <w:tblStyle w:val="Plaingrid"/>
                        <w:tblW w:w="5000" w:type="pct"/>
                        <w:tblCellMar>
                          <w:right w:w="0" w:type="dxa"/>
                        </w:tblCellMar>
                        <w:tblLook w:val="04A0" w:firstRow="1" w:lastRow="0" w:firstColumn="1" w:lastColumn="0" w:noHBand="0" w:noVBand="1"/>
                      </w:tblPr>
                      <w:tblGrid>
                        <w:gridCol w:w="2781"/>
                        <w:gridCol w:w="3089"/>
                        <w:gridCol w:w="3791"/>
                      </w:tblGrid>
                      <w:tr w:rsidR="00184160" w:rsidRPr="0061745A" w14:paraId="31A57BCE" w14:textId="77777777" w:rsidTr="00BA08E0">
                        <w:trPr>
                          <w:trHeight w:val="1554"/>
                        </w:trPr>
                        <w:tc>
                          <w:tcPr>
                            <w:tcW w:w="1439" w:type="pct"/>
                            <w:vAlign w:val="bottom"/>
                          </w:tcPr>
                          <w:bookmarkStart w:id="9" w:name="Cover3" w:colFirst="0" w:colLast="2"/>
                          <w:bookmarkStart w:id="10" w:name="CoverTable2"/>
                          <w:p w14:paraId="6DFD5374" w14:textId="21889CAC" w:rsidR="00184160" w:rsidRPr="0061745A" w:rsidRDefault="00184160" w:rsidP="008A19FD">
                            <w:pPr>
                              <w:pStyle w:val="Coverfooter"/>
                              <w:rPr>
                                <w:color w:val="FFFFFF"/>
                              </w:rPr>
                            </w:pPr>
                            <w:r w:rsidRPr="0061745A">
                              <w:rPr>
                                <w:color w:val="FFFFFF"/>
                              </w:rPr>
                              <w:fldChar w:fldCharType="begin"/>
                            </w:r>
                            <w:r w:rsidRPr="0061745A">
                              <w:rPr>
                                <w:color w:val="FFFFFF"/>
                              </w:rPr>
                              <w:instrText xml:space="preserve"> DOCPROPERTY  FooterClientAddress \* MERGEFORMAT </w:instrText>
                            </w:r>
                            <w:r w:rsidRPr="0061745A">
                              <w:rPr>
                                <w:color w:val="FFFFFF"/>
                              </w:rPr>
                              <w:fldChar w:fldCharType="end"/>
                            </w:r>
                          </w:p>
                        </w:tc>
                        <w:tc>
                          <w:tcPr>
                            <w:tcW w:w="1598" w:type="pct"/>
                            <w:vAlign w:val="bottom"/>
                          </w:tcPr>
                          <w:p w14:paraId="2A7768AD" w14:textId="45FF8CF5" w:rsidR="00184160" w:rsidRPr="0061745A" w:rsidRDefault="00184160" w:rsidP="00BA5047">
                            <w:pPr>
                              <w:pStyle w:val="Coverfooter"/>
                              <w:jc w:val="center"/>
                              <w:rPr>
                                <w:b/>
                                <w:caps/>
                                <w:color w:val="FFFFFF"/>
                                <w:sz w:val="18"/>
                                <w:szCs w:val="18"/>
                              </w:rPr>
                            </w:pPr>
                            <w:r w:rsidRPr="0061745A">
                              <w:rPr>
                                <w:b/>
                                <w:caps/>
                                <w:color w:val="FFFFFF"/>
                                <w:sz w:val="18"/>
                                <w:szCs w:val="18"/>
                              </w:rPr>
                              <w:fldChar w:fldCharType="begin"/>
                            </w:r>
                            <w:r w:rsidRPr="0061745A">
                              <w:rPr>
                                <w:b/>
                                <w:caps/>
                                <w:color w:val="FFFFFF"/>
                                <w:sz w:val="18"/>
                                <w:szCs w:val="18"/>
                              </w:rPr>
                              <w:instrText xml:space="preserve"> DOCPROPERTY  ProtectiveMarking \* MERGEFORMAT </w:instrText>
                            </w:r>
                            <w:r w:rsidRPr="0061745A">
                              <w:rPr>
                                <w:b/>
                                <w:caps/>
                                <w:color w:val="FFFFFF"/>
                                <w:sz w:val="18"/>
                                <w:szCs w:val="18"/>
                              </w:rPr>
                              <w:fldChar w:fldCharType="end"/>
                            </w:r>
                          </w:p>
                          <w:p w14:paraId="41F77F1A" w14:textId="6902E97F" w:rsidR="00184160" w:rsidRPr="0061745A" w:rsidRDefault="00184160" w:rsidP="00BA5047">
                            <w:pPr>
                              <w:pStyle w:val="Coverfooter"/>
                              <w:jc w:val="center"/>
                              <w:rPr>
                                <w:color w:val="FFFFFF"/>
                              </w:rPr>
                            </w:pPr>
                            <w:r w:rsidRPr="0061745A">
                              <w:rPr>
                                <w:color w:val="FFFFFF"/>
                              </w:rPr>
                              <w:fldChar w:fldCharType="begin"/>
                            </w:r>
                            <w:r w:rsidRPr="0061745A">
                              <w:rPr>
                                <w:color w:val="FFFFFF"/>
                              </w:rPr>
                              <w:instrText xml:space="preserve"> DOCPROPERTY  Copies \* MERGEFORMAT </w:instrText>
                            </w:r>
                            <w:r w:rsidRPr="0061745A">
                              <w:rPr>
                                <w:color w:val="FFFFFF"/>
                              </w:rPr>
                              <w:fldChar w:fldCharType="end"/>
                            </w:r>
                          </w:p>
                        </w:tc>
                        <w:tc>
                          <w:tcPr>
                            <w:tcW w:w="1962" w:type="pct"/>
                            <w:vAlign w:val="bottom"/>
                          </w:tcPr>
                          <w:p w14:paraId="4ED3E282" w14:textId="4AAE8795" w:rsidR="00184160" w:rsidRPr="0061745A" w:rsidRDefault="00184160" w:rsidP="00D50E1B">
                            <w:pPr>
                              <w:pStyle w:val="Coverfooter"/>
                              <w:jc w:val="right"/>
                              <w:rPr>
                                <w:color w:val="FFFFFF"/>
                              </w:rPr>
                            </w:pPr>
                            <w:bookmarkStart w:id="11" w:name="TagLine"/>
                            <w:r w:rsidRPr="0061745A">
                              <w:rPr>
                                <w:rFonts w:ascii="Arial" w:hAnsi="Arial" w:cs="Arial"/>
                                <w:noProof/>
                                <w:color w:val="000000"/>
                              </w:rPr>
                              <w:drawing>
                                <wp:inline distT="0" distB="0" distL="0" distR="0" wp14:anchorId="24944196" wp14:editId="66A4E4E4">
                                  <wp:extent cx="1813498" cy="170016"/>
                                  <wp:effectExtent l="0" t="0" r="0" b="1905"/>
                                  <wp:docPr id="16" name="Graphic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1921744" cy="180164"/>
                                          </a:xfrm>
                                          <a:prstGeom prst="rect">
                                            <a:avLst/>
                                          </a:prstGeom>
                                        </pic:spPr>
                                      </pic:pic>
                                    </a:graphicData>
                                  </a:graphic>
                                </wp:inline>
                              </w:drawing>
                            </w:r>
                            <w:bookmarkEnd w:id="11"/>
                          </w:p>
                        </w:tc>
                      </w:tr>
                      <w:bookmarkEnd w:id="9"/>
                      <w:bookmarkEnd w:id="10"/>
                    </w:tbl>
                    <w:p w14:paraId="348B5ADD" w14:textId="77777777" w:rsidR="00184160" w:rsidRDefault="00184160" w:rsidP="00DA79BC"/>
                  </w:txbxContent>
                </v:textbox>
                <w10:wrap anchory="page"/>
              </v:shape>
            </w:pict>
          </mc:Fallback>
        </mc:AlternateContent>
      </w:r>
    </w:p>
    <w:p w14:paraId="10A61D9D" w14:textId="77777777" w:rsidR="003964F2" w:rsidRPr="00193839" w:rsidRDefault="003964F2" w:rsidP="003E5953">
      <w:pPr>
        <w:pStyle w:val="TOCHeading"/>
        <w:rPr>
          <w:noProof/>
        </w:rPr>
      </w:pPr>
      <w:bookmarkStart w:id="12" w:name="Text_Contents"/>
      <w:bookmarkStart w:id="13" w:name="TOC"/>
      <w:r w:rsidRPr="00193839">
        <w:rPr>
          <w:noProof/>
        </w:rPr>
        <w:lastRenderedPageBreak/>
        <w:t>Table of Contents</w:t>
      </w:r>
      <w:bookmarkEnd w:id="12"/>
    </w:p>
    <w:p w14:paraId="17F4114C" w14:textId="22081DF7" w:rsidR="00A22F29" w:rsidRPr="00A22F29" w:rsidRDefault="00FF22EB">
      <w:pPr>
        <w:pStyle w:val="TOC1"/>
        <w:rPr>
          <w:rFonts w:ascii="Calibri" w:eastAsiaTheme="minorEastAsia" w:hAnsi="Calibri" w:cs="Calibri"/>
          <w:noProof/>
          <w:sz w:val="22"/>
          <w:szCs w:val="22"/>
        </w:rPr>
      </w:pPr>
      <w:r w:rsidRPr="00A22F29">
        <w:rPr>
          <w:rFonts w:ascii="Calibri" w:hAnsi="Calibri" w:cs="Calibri"/>
          <w:noProof/>
          <w:sz w:val="23"/>
          <w:szCs w:val="23"/>
        </w:rPr>
        <w:fldChar w:fldCharType="begin"/>
      </w:r>
      <w:r w:rsidRPr="00A22F29">
        <w:rPr>
          <w:rFonts w:ascii="Calibri" w:hAnsi="Calibri" w:cs="Calibri"/>
          <w:noProof/>
          <w:sz w:val="23"/>
          <w:szCs w:val="23"/>
        </w:rPr>
        <w:instrText xml:space="preserve"> TOC \o "1-2" \u </w:instrText>
      </w:r>
      <w:r w:rsidRPr="00A22F29">
        <w:rPr>
          <w:rFonts w:ascii="Calibri" w:hAnsi="Calibri" w:cs="Calibri"/>
          <w:noProof/>
          <w:sz w:val="23"/>
          <w:szCs w:val="23"/>
        </w:rPr>
        <w:fldChar w:fldCharType="separate"/>
      </w:r>
      <w:r w:rsidR="00A22F29" w:rsidRPr="00A22F29">
        <w:rPr>
          <w:rFonts w:ascii="Calibri" w:hAnsi="Calibri" w:cs="Calibri"/>
          <w:noProof/>
        </w:rPr>
        <w:t>1.</w:t>
      </w:r>
      <w:r w:rsidR="00A22F29" w:rsidRPr="00A22F29">
        <w:rPr>
          <w:rFonts w:ascii="Calibri" w:eastAsiaTheme="minorEastAsia" w:hAnsi="Calibri" w:cs="Calibri"/>
          <w:noProof/>
          <w:sz w:val="22"/>
          <w:szCs w:val="22"/>
        </w:rPr>
        <w:tab/>
      </w:r>
      <w:r w:rsidR="00A22F29" w:rsidRPr="00A22F29">
        <w:rPr>
          <w:rFonts w:ascii="Calibri" w:hAnsi="Calibri" w:cs="Calibri"/>
          <w:noProof/>
        </w:rPr>
        <w:t>Introduction</w:t>
      </w:r>
      <w:r w:rsidR="00A22F29" w:rsidRPr="00A22F29">
        <w:rPr>
          <w:rFonts w:ascii="Calibri" w:hAnsi="Calibri" w:cs="Calibri"/>
          <w:noProof/>
        </w:rPr>
        <w:tab/>
      </w:r>
      <w:r w:rsidR="00A22F29" w:rsidRPr="00A22F29">
        <w:rPr>
          <w:rFonts w:ascii="Calibri" w:hAnsi="Calibri" w:cs="Calibri"/>
          <w:noProof/>
        </w:rPr>
        <w:fldChar w:fldCharType="begin"/>
      </w:r>
      <w:r w:rsidR="00A22F29" w:rsidRPr="00A22F29">
        <w:rPr>
          <w:rFonts w:ascii="Calibri" w:hAnsi="Calibri" w:cs="Calibri"/>
          <w:noProof/>
        </w:rPr>
        <w:instrText xml:space="preserve"> PAGEREF _Toc196294349 \h </w:instrText>
      </w:r>
      <w:r w:rsidR="00A22F29" w:rsidRPr="00A22F29">
        <w:rPr>
          <w:rFonts w:ascii="Calibri" w:hAnsi="Calibri" w:cs="Calibri"/>
          <w:noProof/>
        </w:rPr>
      </w:r>
      <w:r w:rsidR="00A22F29" w:rsidRPr="00A22F29">
        <w:rPr>
          <w:rFonts w:ascii="Calibri" w:hAnsi="Calibri" w:cs="Calibri"/>
          <w:noProof/>
        </w:rPr>
        <w:fldChar w:fldCharType="separate"/>
      </w:r>
      <w:r w:rsidR="00D377B6">
        <w:rPr>
          <w:rFonts w:ascii="Calibri" w:hAnsi="Calibri" w:cs="Calibri"/>
          <w:noProof/>
        </w:rPr>
        <w:t>6</w:t>
      </w:r>
      <w:r w:rsidR="00A22F29" w:rsidRPr="00A22F29">
        <w:rPr>
          <w:rFonts w:ascii="Calibri" w:hAnsi="Calibri" w:cs="Calibri"/>
          <w:noProof/>
        </w:rPr>
        <w:fldChar w:fldCharType="end"/>
      </w:r>
    </w:p>
    <w:p w14:paraId="09484E6E" w14:textId="38382A5B" w:rsidR="00A22F29" w:rsidRPr="00A22F29" w:rsidRDefault="00A22F29">
      <w:pPr>
        <w:pStyle w:val="TOC2"/>
        <w:tabs>
          <w:tab w:val="left" w:pos="1260"/>
        </w:tabs>
        <w:rPr>
          <w:rFonts w:ascii="Calibri" w:eastAsiaTheme="minorEastAsia" w:hAnsi="Calibri" w:cs="Calibri"/>
          <w:noProof/>
          <w:sz w:val="22"/>
          <w:szCs w:val="22"/>
        </w:rPr>
      </w:pPr>
      <w:r w:rsidRPr="00A22F29">
        <w:rPr>
          <w:rFonts w:ascii="Calibri" w:hAnsi="Calibri" w:cs="Calibri"/>
          <w:noProof/>
        </w:rPr>
        <w:t>1.01</w:t>
      </w:r>
      <w:r w:rsidRPr="00A22F29">
        <w:rPr>
          <w:rFonts w:ascii="Calibri" w:eastAsiaTheme="minorEastAsia" w:hAnsi="Calibri" w:cs="Calibri"/>
          <w:noProof/>
          <w:sz w:val="22"/>
          <w:szCs w:val="22"/>
        </w:rPr>
        <w:tab/>
      </w:r>
      <w:r w:rsidRPr="00A22F29">
        <w:rPr>
          <w:rFonts w:ascii="Calibri" w:hAnsi="Calibri" w:cs="Calibri"/>
          <w:noProof/>
        </w:rPr>
        <w:t>About the Contracting Authority</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_Toc196294350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6</w:t>
      </w:r>
      <w:r w:rsidRPr="00A22F29">
        <w:rPr>
          <w:rFonts w:ascii="Calibri" w:hAnsi="Calibri" w:cs="Calibri"/>
          <w:noProof/>
        </w:rPr>
        <w:fldChar w:fldCharType="end"/>
      </w:r>
    </w:p>
    <w:p w14:paraId="35F57FD1" w14:textId="50E46B29" w:rsidR="00A22F29" w:rsidRPr="00A22F29" w:rsidRDefault="00A22F29">
      <w:pPr>
        <w:pStyle w:val="TOC1"/>
        <w:rPr>
          <w:rFonts w:ascii="Calibri" w:eastAsiaTheme="minorEastAsia" w:hAnsi="Calibri" w:cs="Calibri"/>
          <w:noProof/>
          <w:sz w:val="22"/>
          <w:szCs w:val="22"/>
        </w:rPr>
      </w:pPr>
      <w:r w:rsidRPr="00A22F29">
        <w:rPr>
          <w:rFonts w:ascii="Calibri" w:hAnsi="Calibri" w:cs="Calibri"/>
          <w:noProof/>
        </w:rPr>
        <w:t>2.</w:t>
      </w:r>
      <w:r w:rsidRPr="00A22F29">
        <w:rPr>
          <w:rFonts w:ascii="Calibri" w:eastAsiaTheme="minorEastAsia" w:hAnsi="Calibri" w:cs="Calibri"/>
          <w:noProof/>
          <w:sz w:val="22"/>
          <w:szCs w:val="22"/>
        </w:rPr>
        <w:tab/>
      </w:r>
      <w:r w:rsidRPr="00A22F29">
        <w:rPr>
          <w:rFonts w:ascii="Calibri" w:hAnsi="Calibri" w:cs="Calibri"/>
          <w:noProof/>
        </w:rPr>
        <w:t>Scope of the Framework Agreement</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_Toc196294351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8</w:t>
      </w:r>
      <w:r w:rsidRPr="00A22F29">
        <w:rPr>
          <w:rFonts w:ascii="Calibri" w:hAnsi="Calibri" w:cs="Calibri"/>
          <w:noProof/>
        </w:rPr>
        <w:fldChar w:fldCharType="end"/>
      </w:r>
    </w:p>
    <w:p w14:paraId="26355510" w14:textId="3F33FA4C" w:rsidR="00A22F29" w:rsidRPr="00A22F29" w:rsidRDefault="00A22F29">
      <w:pPr>
        <w:pStyle w:val="TOC2"/>
        <w:tabs>
          <w:tab w:val="left" w:pos="1260"/>
        </w:tabs>
        <w:rPr>
          <w:rFonts w:ascii="Calibri" w:eastAsiaTheme="minorEastAsia" w:hAnsi="Calibri" w:cs="Calibri"/>
          <w:noProof/>
          <w:sz w:val="22"/>
          <w:szCs w:val="22"/>
        </w:rPr>
      </w:pPr>
      <w:r w:rsidRPr="00A22F29">
        <w:rPr>
          <w:rFonts w:ascii="Calibri" w:hAnsi="Calibri" w:cs="Calibri"/>
          <w:noProof/>
        </w:rPr>
        <w:t>2.01</w:t>
      </w:r>
      <w:r w:rsidRPr="00A22F29">
        <w:rPr>
          <w:rFonts w:ascii="Calibri" w:eastAsiaTheme="minorEastAsia" w:hAnsi="Calibri" w:cs="Calibri"/>
          <w:noProof/>
          <w:sz w:val="22"/>
          <w:szCs w:val="22"/>
        </w:rPr>
        <w:tab/>
      </w:r>
      <w:r w:rsidRPr="00A22F29">
        <w:rPr>
          <w:rFonts w:ascii="Calibri" w:hAnsi="Calibri" w:cs="Calibri"/>
          <w:noProof/>
        </w:rPr>
        <w:t>Type of Framework</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_Toc196294352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8</w:t>
      </w:r>
      <w:r w:rsidRPr="00A22F29">
        <w:rPr>
          <w:rFonts w:ascii="Calibri" w:hAnsi="Calibri" w:cs="Calibri"/>
          <w:noProof/>
        </w:rPr>
        <w:fldChar w:fldCharType="end"/>
      </w:r>
    </w:p>
    <w:p w14:paraId="670CFC02" w14:textId="0E422425" w:rsidR="00A22F29" w:rsidRPr="00A22F29" w:rsidRDefault="00A22F29">
      <w:pPr>
        <w:pStyle w:val="TOC2"/>
        <w:tabs>
          <w:tab w:val="left" w:pos="1260"/>
        </w:tabs>
        <w:rPr>
          <w:rFonts w:ascii="Calibri" w:eastAsiaTheme="minorEastAsia" w:hAnsi="Calibri" w:cs="Calibri"/>
          <w:noProof/>
          <w:sz w:val="22"/>
          <w:szCs w:val="22"/>
        </w:rPr>
      </w:pPr>
      <w:r w:rsidRPr="00A22F29">
        <w:rPr>
          <w:rFonts w:ascii="Calibri" w:hAnsi="Calibri" w:cs="Calibri"/>
          <w:noProof/>
        </w:rPr>
        <w:t>2.02</w:t>
      </w:r>
      <w:r w:rsidRPr="00A22F29">
        <w:rPr>
          <w:rFonts w:ascii="Calibri" w:eastAsiaTheme="minorEastAsia" w:hAnsi="Calibri" w:cs="Calibri"/>
          <w:noProof/>
          <w:sz w:val="22"/>
          <w:szCs w:val="22"/>
        </w:rPr>
        <w:tab/>
      </w:r>
      <w:r w:rsidRPr="00A22F29">
        <w:rPr>
          <w:rFonts w:ascii="Calibri" w:hAnsi="Calibri" w:cs="Calibri"/>
          <w:noProof/>
        </w:rPr>
        <w:t>Numbers Admitted to the Framework Agreement</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_Toc196294353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8</w:t>
      </w:r>
      <w:r w:rsidRPr="00A22F29">
        <w:rPr>
          <w:rFonts w:ascii="Calibri" w:hAnsi="Calibri" w:cs="Calibri"/>
          <w:noProof/>
        </w:rPr>
        <w:fldChar w:fldCharType="end"/>
      </w:r>
    </w:p>
    <w:p w14:paraId="782CD794" w14:textId="0C2FE8E3" w:rsidR="00A22F29" w:rsidRPr="00A22F29" w:rsidRDefault="00A22F29">
      <w:pPr>
        <w:pStyle w:val="TOC2"/>
        <w:tabs>
          <w:tab w:val="left" w:pos="1260"/>
        </w:tabs>
        <w:rPr>
          <w:rFonts w:ascii="Calibri" w:eastAsiaTheme="minorEastAsia" w:hAnsi="Calibri" w:cs="Calibri"/>
          <w:noProof/>
          <w:sz w:val="22"/>
          <w:szCs w:val="22"/>
        </w:rPr>
      </w:pPr>
      <w:r w:rsidRPr="00A22F29">
        <w:rPr>
          <w:rFonts w:ascii="Calibri" w:hAnsi="Calibri" w:cs="Calibri"/>
          <w:noProof/>
        </w:rPr>
        <w:t>2.03</w:t>
      </w:r>
      <w:r w:rsidRPr="00A22F29">
        <w:rPr>
          <w:rFonts w:ascii="Calibri" w:eastAsiaTheme="minorEastAsia" w:hAnsi="Calibri" w:cs="Calibri"/>
          <w:noProof/>
          <w:sz w:val="22"/>
          <w:szCs w:val="22"/>
        </w:rPr>
        <w:tab/>
      </w:r>
      <w:r w:rsidRPr="00A22F29">
        <w:rPr>
          <w:rFonts w:ascii="Calibri" w:hAnsi="Calibri" w:cs="Calibri"/>
          <w:noProof/>
        </w:rPr>
        <w:t>Duration of the Framework Agreement</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_Toc196294354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8</w:t>
      </w:r>
      <w:r w:rsidRPr="00A22F29">
        <w:rPr>
          <w:rFonts w:ascii="Calibri" w:hAnsi="Calibri" w:cs="Calibri"/>
          <w:noProof/>
        </w:rPr>
        <w:fldChar w:fldCharType="end"/>
      </w:r>
    </w:p>
    <w:p w14:paraId="6B573675" w14:textId="720A944A" w:rsidR="00A22F29" w:rsidRPr="00A22F29" w:rsidRDefault="00A22F29">
      <w:pPr>
        <w:pStyle w:val="TOC2"/>
        <w:tabs>
          <w:tab w:val="left" w:pos="1260"/>
        </w:tabs>
        <w:rPr>
          <w:rFonts w:ascii="Calibri" w:eastAsiaTheme="minorEastAsia" w:hAnsi="Calibri" w:cs="Calibri"/>
          <w:noProof/>
          <w:sz w:val="22"/>
          <w:szCs w:val="22"/>
        </w:rPr>
      </w:pPr>
      <w:r w:rsidRPr="00A22F29">
        <w:rPr>
          <w:rFonts w:ascii="Calibri" w:hAnsi="Calibri" w:cs="Calibri"/>
          <w:noProof/>
        </w:rPr>
        <w:t>2.04</w:t>
      </w:r>
      <w:r w:rsidRPr="00A22F29">
        <w:rPr>
          <w:rFonts w:ascii="Calibri" w:eastAsiaTheme="minorEastAsia" w:hAnsi="Calibri" w:cs="Calibri"/>
          <w:noProof/>
          <w:sz w:val="22"/>
          <w:szCs w:val="22"/>
        </w:rPr>
        <w:tab/>
      </w:r>
      <w:r w:rsidRPr="00A22F29">
        <w:rPr>
          <w:rFonts w:ascii="Calibri" w:hAnsi="Calibri" w:cs="Calibri"/>
          <w:noProof/>
        </w:rPr>
        <w:t>Estimated Value of the Framework Agreement</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_Toc196294357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8</w:t>
      </w:r>
      <w:r w:rsidRPr="00A22F29">
        <w:rPr>
          <w:rFonts w:ascii="Calibri" w:hAnsi="Calibri" w:cs="Calibri"/>
          <w:noProof/>
        </w:rPr>
        <w:fldChar w:fldCharType="end"/>
      </w:r>
    </w:p>
    <w:p w14:paraId="0BD123B6" w14:textId="4A1D8023" w:rsidR="00A22F29" w:rsidRPr="00A22F29" w:rsidRDefault="00A22F29">
      <w:pPr>
        <w:pStyle w:val="TOC2"/>
        <w:tabs>
          <w:tab w:val="left" w:pos="1260"/>
        </w:tabs>
        <w:rPr>
          <w:rFonts w:ascii="Calibri" w:eastAsiaTheme="minorEastAsia" w:hAnsi="Calibri" w:cs="Calibri"/>
          <w:noProof/>
          <w:sz w:val="22"/>
          <w:szCs w:val="22"/>
        </w:rPr>
      </w:pPr>
      <w:r w:rsidRPr="00A22F29">
        <w:rPr>
          <w:rFonts w:ascii="Calibri" w:hAnsi="Calibri" w:cs="Calibri"/>
          <w:noProof/>
        </w:rPr>
        <w:t>2.05</w:t>
      </w:r>
      <w:r w:rsidRPr="00A22F29">
        <w:rPr>
          <w:rFonts w:ascii="Calibri" w:eastAsiaTheme="minorEastAsia" w:hAnsi="Calibri" w:cs="Calibri"/>
          <w:noProof/>
          <w:sz w:val="22"/>
          <w:szCs w:val="22"/>
        </w:rPr>
        <w:tab/>
      </w:r>
      <w:r w:rsidRPr="00A22F29">
        <w:rPr>
          <w:rFonts w:ascii="Calibri" w:hAnsi="Calibri" w:cs="Calibri"/>
          <w:noProof/>
        </w:rPr>
        <w:t>Awarding Contracts under the Framework Agreement</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_Toc196294358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9</w:t>
      </w:r>
      <w:r w:rsidRPr="00A22F29">
        <w:rPr>
          <w:rFonts w:ascii="Calibri" w:hAnsi="Calibri" w:cs="Calibri"/>
          <w:noProof/>
        </w:rPr>
        <w:fldChar w:fldCharType="end"/>
      </w:r>
    </w:p>
    <w:p w14:paraId="7153C4AC" w14:textId="1A8F1E82" w:rsidR="00A22F29" w:rsidRPr="00A22F29" w:rsidRDefault="00A22F29">
      <w:pPr>
        <w:pStyle w:val="TOC2"/>
        <w:tabs>
          <w:tab w:val="left" w:pos="1260"/>
        </w:tabs>
        <w:rPr>
          <w:rFonts w:ascii="Calibri" w:eastAsiaTheme="minorEastAsia" w:hAnsi="Calibri" w:cs="Calibri"/>
          <w:noProof/>
          <w:sz w:val="22"/>
          <w:szCs w:val="22"/>
        </w:rPr>
      </w:pPr>
      <w:r w:rsidRPr="00A22F29">
        <w:rPr>
          <w:rFonts w:ascii="Calibri" w:hAnsi="Calibri" w:cs="Calibri"/>
          <w:noProof/>
        </w:rPr>
        <w:t>2.06</w:t>
      </w:r>
      <w:r w:rsidRPr="00A22F29">
        <w:rPr>
          <w:rFonts w:ascii="Calibri" w:eastAsiaTheme="minorEastAsia" w:hAnsi="Calibri" w:cs="Calibri"/>
          <w:noProof/>
          <w:sz w:val="22"/>
          <w:szCs w:val="22"/>
        </w:rPr>
        <w:tab/>
      </w:r>
      <w:r w:rsidRPr="00A22F29">
        <w:rPr>
          <w:rFonts w:ascii="Calibri" w:hAnsi="Calibri" w:cs="Calibri"/>
          <w:noProof/>
        </w:rPr>
        <w:t>Management of Performance</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_Toc196294359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9</w:t>
      </w:r>
      <w:r w:rsidRPr="00A22F29">
        <w:rPr>
          <w:rFonts w:ascii="Calibri" w:hAnsi="Calibri" w:cs="Calibri"/>
          <w:noProof/>
        </w:rPr>
        <w:fldChar w:fldCharType="end"/>
      </w:r>
    </w:p>
    <w:p w14:paraId="35ACE63B" w14:textId="248F93C7" w:rsidR="00A22F29" w:rsidRPr="00A22F29" w:rsidRDefault="00A22F29">
      <w:pPr>
        <w:pStyle w:val="TOC2"/>
        <w:tabs>
          <w:tab w:val="left" w:pos="1260"/>
        </w:tabs>
        <w:rPr>
          <w:rFonts w:ascii="Calibri" w:eastAsiaTheme="minorEastAsia" w:hAnsi="Calibri" w:cs="Calibri"/>
          <w:noProof/>
          <w:sz w:val="22"/>
          <w:szCs w:val="22"/>
        </w:rPr>
      </w:pPr>
      <w:r w:rsidRPr="00A22F29">
        <w:rPr>
          <w:rFonts w:ascii="Calibri" w:hAnsi="Calibri" w:cs="Calibri"/>
          <w:noProof/>
        </w:rPr>
        <w:t>2.07</w:t>
      </w:r>
      <w:r w:rsidRPr="00A22F29">
        <w:rPr>
          <w:rFonts w:ascii="Calibri" w:eastAsiaTheme="minorEastAsia" w:hAnsi="Calibri" w:cs="Calibri"/>
          <w:noProof/>
          <w:sz w:val="22"/>
          <w:szCs w:val="22"/>
        </w:rPr>
        <w:tab/>
      </w:r>
      <w:r w:rsidRPr="00A22F29">
        <w:rPr>
          <w:rFonts w:ascii="Calibri" w:hAnsi="Calibri" w:cs="Calibri"/>
          <w:noProof/>
        </w:rPr>
        <w:t>Right to Tender Outside of the Framework</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_Toc196294360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9</w:t>
      </w:r>
      <w:r w:rsidRPr="00A22F29">
        <w:rPr>
          <w:rFonts w:ascii="Calibri" w:hAnsi="Calibri" w:cs="Calibri"/>
          <w:noProof/>
        </w:rPr>
        <w:fldChar w:fldCharType="end"/>
      </w:r>
    </w:p>
    <w:p w14:paraId="45094711" w14:textId="2C793DC6" w:rsidR="00A22F29" w:rsidRPr="00A22F29" w:rsidRDefault="00A22F29">
      <w:pPr>
        <w:pStyle w:val="TOC2"/>
        <w:tabs>
          <w:tab w:val="left" w:pos="1260"/>
        </w:tabs>
        <w:rPr>
          <w:rFonts w:ascii="Calibri" w:eastAsiaTheme="minorEastAsia" w:hAnsi="Calibri" w:cs="Calibri"/>
          <w:noProof/>
          <w:sz w:val="22"/>
          <w:szCs w:val="22"/>
        </w:rPr>
      </w:pPr>
      <w:r w:rsidRPr="00A22F29">
        <w:rPr>
          <w:rFonts w:ascii="Calibri" w:hAnsi="Calibri" w:cs="Calibri"/>
          <w:noProof/>
        </w:rPr>
        <w:t>2.08</w:t>
      </w:r>
      <w:r w:rsidRPr="00A22F29">
        <w:rPr>
          <w:rFonts w:ascii="Calibri" w:eastAsiaTheme="minorEastAsia" w:hAnsi="Calibri" w:cs="Calibri"/>
          <w:noProof/>
          <w:sz w:val="22"/>
          <w:szCs w:val="22"/>
        </w:rPr>
        <w:tab/>
      </w:r>
      <w:r w:rsidRPr="00A22F29">
        <w:rPr>
          <w:rFonts w:ascii="Calibri" w:hAnsi="Calibri" w:cs="Calibri"/>
          <w:noProof/>
        </w:rPr>
        <w:t>Award to Runner Up</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_Toc196294361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9</w:t>
      </w:r>
      <w:r w:rsidRPr="00A22F29">
        <w:rPr>
          <w:rFonts w:ascii="Calibri" w:hAnsi="Calibri" w:cs="Calibri"/>
          <w:noProof/>
        </w:rPr>
        <w:fldChar w:fldCharType="end"/>
      </w:r>
    </w:p>
    <w:p w14:paraId="0FF824A8" w14:textId="34BAC51C" w:rsidR="00A22F29" w:rsidRPr="00A22F29" w:rsidRDefault="00A22F29">
      <w:pPr>
        <w:pStyle w:val="TOC1"/>
        <w:rPr>
          <w:rFonts w:ascii="Calibri" w:eastAsiaTheme="minorEastAsia" w:hAnsi="Calibri" w:cs="Calibri"/>
          <w:noProof/>
          <w:sz w:val="22"/>
          <w:szCs w:val="22"/>
        </w:rPr>
      </w:pPr>
      <w:r w:rsidRPr="00A22F29">
        <w:rPr>
          <w:rFonts w:ascii="Calibri" w:hAnsi="Calibri" w:cs="Calibri"/>
          <w:noProof/>
        </w:rPr>
        <w:t>3.</w:t>
      </w:r>
      <w:r w:rsidRPr="00A22F29">
        <w:rPr>
          <w:rFonts w:ascii="Calibri" w:eastAsiaTheme="minorEastAsia" w:hAnsi="Calibri" w:cs="Calibri"/>
          <w:noProof/>
          <w:sz w:val="22"/>
          <w:szCs w:val="22"/>
        </w:rPr>
        <w:tab/>
      </w:r>
      <w:r w:rsidRPr="00A22F29">
        <w:rPr>
          <w:rFonts w:ascii="Calibri" w:hAnsi="Calibri" w:cs="Calibri"/>
          <w:noProof/>
        </w:rPr>
        <w:t>Specification of Requirements</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_Toc196294362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10</w:t>
      </w:r>
      <w:r w:rsidRPr="00A22F29">
        <w:rPr>
          <w:rFonts w:ascii="Calibri" w:hAnsi="Calibri" w:cs="Calibri"/>
          <w:noProof/>
        </w:rPr>
        <w:fldChar w:fldCharType="end"/>
      </w:r>
    </w:p>
    <w:p w14:paraId="3DA2ED77" w14:textId="39A135DA" w:rsidR="00A22F29" w:rsidRPr="00A22F29" w:rsidRDefault="00A22F29">
      <w:pPr>
        <w:pStyle w:val="TOC2"/>
        <w:tabs>
          <w:tab w:val="left" w:pos="1260"/>
        </w:tabs>
        <w:rPr>
          <w:rFonts w:ascii="Calibri" w:eastAsiaTheme="minorEastAsia" w:hAnsi="Calibri" w:cs="Calibri"/>
          <w:noProof/>
          <w:sz w:val="22"/>
          <w:szCs w:val="22"/>
        </w:rPr>
      </w:pPr>
      <w:r w:rsidRPr="00A22F29">
        <w:rPr>
          <w:rFonts w:ascii="Calibri" w:hAnsi="Calibri" w:cs="Calibri"/>
          <w:noProof/>
        </w:rPr>
        <w:t>3.01</w:t>
      </w:r>
      <w:r w:rsidRPr="00A22F29">
        <w:rPr>
          <w:rFonts w:ascii="Calibri" w:eastAsiaTheme="minorEastAsia" w:hAnsi="Calibri" w:cs="Calibri"/>
          <w:noProof/>
          <w:sz w:val="22"/>
          <w:szCs w:val="22"/>
        </w:rPr>
        <w:tab/>
      </w:r>
      <w:r w:rsidRPr="00A22F29">
        <w:rPr>
          <w:rFonts w:ascii="Calibri" w:hAnsi="Calibri" w:cs="Calibri"/>
          <w:noProof/>
        </w:rPr>
        <w:t>Scope of this Framework Agreement</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_Toc196294363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10</w:t>
      </w:r>
      <w:r w:rsidRPr="00A22F29">
        <w:rPr>
          <w:rFonts w:ascii="Calibri" w:hAnsi="Calibri" w:cs="Calibri"/>
          <w:noProof/>
        </w:rPr>
        <w:fldChar w:fldCharType="end"/>
      </w:r>
    </w:p>
    <w:p w14:paraId="2E7CBD0E" w14:textId="0CB285CE" w:rsidR="00A22F29" w:rsidRPr="00A22F29" w:rsidRDefault="00A22F29">
      <w:pPr>
        <w:pStyle w:val="TOC2"/>
        <w:tabs>
          <w:tab w:val="left" w:pos="1260"/>
        </w:tabs>
        <w:rPr>
          <w:rFonts w:ascii="Calibri" w:eastAsiaTheme="minorEastAsia" w:hAnsi="Calibri" w:cs="Calibri"/>
          <w:noProof/>
          <w:sz w:val="22"/>
          <w:szCs w:val="22"/>
        </w:rPr>
      </w:pPr>
      <w:r w:rsidRPr="00A22F29">
        <w:rPr>
          <w:rFonts w:ascii="Calibri" w:hAnsi="Calibri" w:cs="Calibri"/>
          <w:noProof/>
        </w:rPr>
        <w:t>3.02</w:t>
      </w:r>
      <w:r w:rsidRPr="00A22F29">
        <w:rPr>
          <w:rFonts w:ascii="Calibri" w:eastAsiaTheme="minorEastAsia" w:hAnsi="Calibri" w:cs="Calibri"/>
          <w:noProof/>
          <w:sz w:val="22"/>
          <w:szCs w:val="22"/>
        </w:rPr>
        <w:tab/>
      </w:r>
      <w:r w:rsidRPr="00A22F29">
        <w:rPr>
          <w:rFonts w:ascii="Calibri" w:hAnsi="Calibri" w:cs="Calibri"/>
          <w:noProof/>
        </w:rPr>
        <w:t>General Details of Requirements</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_Toc196294364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10</w:t>
      </w:r>
      <w:r w:rsidRPr="00A22F29">
        <w:rPr>
          <w:rFonts w:ascii="Calibri" w:hAnsi="Calibri" w:cs="Calibri"/>
          <w:noProof/>
        </w:rPr>
        <w:fldChar w:fldCharType="end"/>
      </w:r>
    </w:p>
    <w:p w14:paraId="026D9F3A" w14:textId="717E3F86" w:rsidR="00A22F29" w:rsidRPr="00A22F29" w:rsidRDefault="00A22F29">
      <w:pPr>
        <w:pStyle w:val="TOC2"/>
        <w:tabs>
          <w:tab w:val="left" w:pos="1260"/>
        </w:tabs>
        <w:rPr>
          <w:rFonts w:ascii="Calibri" w:eastAsiaTheme="minorEastAsia" w:hAnsi="Calibri" w:cs="Calibri"/>
          <w:noProof/>
          <w:sz w:val="22"/>
          <w:szCs w:val="22"/>
        </w:rPr>
      </w:pPr>
      <w:r w:rsidRPr="00A22F29">
        <w:rPr>
          <w:rFonts w:ascii="Calibri" w:hAnsi="Calibri" w:cs="Calibri"/>
          <w:noProof/>
        </w:rPr>
        <w:t>3.03</w:t>
      </w:r>
      <w:r w:rsidRPr="00A22F29">
        <w:rPr>
          <w:rFonts w:ascii="Calibri" w:eastAsiaTheme="minorEastAsia" w:hAnsi="Calibri" w:cs="Calibri"/>
          <w:noProof/>
          <w:sz w:val="22"/>
          <w:szCs w:val="22"/>
        </w:rPr>
        <w:tab/>
      </w:r>
      <w:r w:rsidRPr="00A22F29">
        <w:rPr>
          <w:rFonts w:ascii="Calibri" w:hAnsi="Calibri" w:cs="Calibri"/>
          <w:noProof/>
        </w:rPr>
        <w:t>Base Requirements</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_Toc196294365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10</w:t>
      </w:r>
      <w:r w:rsidRPr="00A22F29">
        <w:rPr>
          <w:rFonts w:ascii="Calibri" w:hAnsi="Calibri" w:cs="Calibri"/>
          <w:noProof/>
        </w:rPr>
        <w:fldChar w:fldCharType="end"/>
      </w:r>
    </w:p>
    <w:p w14:paraId="42821F14" w14:textId="2FD635F9" w:rsidR="00A22F29" w:rsidRPr="00A22F29" w:rsidRDefault="00A22F29">
      <w:pPr>
        <w:pStyle w:val="TOC2"/>
        <w:tabs>
          <w:tab w:val="left" w:pos="1260"/>
        </w:tabs>
        <w:rPr>
          <w:rFonts w:ascii="Calibri" w:eastAsiaTheme="minorEastAsia" w:hAnsi="Calibri" w:cs="Calibri"/>
          <w:noProof/>
          <w:sz w:val="22"/>
          <w:szCs w:val="22"/>
        </w:rPr>
      </w:pPr>
      <w:r w:rsidRPr="00A22F29">
        <w:rPr>
          <w:rFonts w:ascii="Calibri" w:hAnsi="Calibri" w:cs="Calibri"/>
          <w:noProof/>
        </w:rPr>
        <w:t>3.04</w:t>
      </w:r>
      <w:r w:rsidRPr="00A22F29">
        <w:rPr>
          <w:rFonts w:ascii="Calibri" w:eastAsiaTheme="minorEastAsia" w:hAnsi="Calibri" w:cs="Calibri"/>
          <w:noProof/>
          <w:sz w:val="22"/>
          <w:szCs w:val="22"/>
        </w:rPr>
        <w:tab/>
      </w:r>
      <w:r w:rsidRPr="00A22F29">
        <w:rPr>
          <w:rFonts w:ascii="Calibri" w:hAnsi="Calibri" w:cs="Calibri"/>
          <w:noProof/>
        </w:rPr>
        <w:t>Ad Hoc Services Requirements</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_Toc196294366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11</w:t>
      </w:r>
      <w:r w:rsidRPr="00A22F29">
        <w:rPr>
          <w:rFonts w:ascii="Calibri" w:hAnsi="Calibri" w:cs="Calibri"/>
          <w:noProof/>
        </w:rPr>
        <w:fldChar w:fldCharType="end"/>
      </w:r>
    </w:p>
    <w:p w14:paraId="14EF2626" w14:textId="2A771B78" w:rsidR="00A22F29" w:rsidRPr="00A22F29" w:rsidRDefault="00A22F29">
      <w:pPr>
        <w:pStyle w:val="TOC2"/>
        <w:tabs>
          <w:tab w:val="left" w:pos="1260"/>
        </w:tabs>
        <w:rPr>
          <w:rFonts w:ascii="Calibri" w:eastAsiaTheme="minorEastAsia" w:hAnsi="Calibri" w:cs="Calibri"/>
          <w:noProof/>
          <w:sz w:val="22"/>
          <w:szCs w:val="22"/>
        </w:rPr>
      </w:pPr>
      <w:r w:rsidRPr="00A22F29">
        <w:rPr>
          <w:rFonts w:ascii="Calibri" w:hAnsi="Calibri" w:cs="Calibri"/>
          <w:noProof/>
        </w:rPr>
        <w:t>3.05</w:t>
      </w:r>
      <w:r w:rsidRPr="00A22F29">
        <w:rPr>
          <w:rFonts w:ascii="Calibri" w:eastAsiaTheme="minorEastAsia" w:hAnsi="Calibri" w:cs="Calibri"/>
          <w:noProof/>
          <w:sz w:val="22"/>
          <w:szCs w:val="22"/>
        </w:rPr>
        <w:tab/>
      </w:r>
      <w:r w:rsidRPr="00A22F29">
        <w:rPr>
          <w:rFonts w:ascii="Calibri" w:hAnsi="Calibri" w:cs="Calibri"/>
          <w:noProof/>
        </w:rPr>
        <w:t>Reinstatement Cost Provision Generally</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_Toc196294367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12</w:t>
      </w:r>
      <w:r w:rsidRPr="00A22F29">
        <w:rPr>
          <w:rFonts w:ascii="Calibri" w:hAnsi="Calibri" w:cs="Calibri"/>
          <w:noProof/>
        </w:rPr>
        <w:fldChar w:fldCharType="end"/>
      </w:r>
    </w:p>
    <w:p w14:paraId="35974F28" w14:textId="71B8C6A5" w:rsidR="00A22F29" w:rsidRPr="00A22F29" w:rsidRDefault="00A22F29">
      <w:pPr>
        <w:pStyle w:val="TOC2"/>
        <w:tabs>
          <w:tab w:val="left" w:pos="1260"/>
        </w:tabs>
        <w:rPr>
          <w:rFonts w:ascii="Calibri" w:eastAsiaTheme="minorEastAsia" w:hAnsi="Calibri" w:cs="Calibri"/>
          <w:noProof/>
          <w:sz w:val="22"/>
          <w:szCs w:val="22"/>
        </w:rPr>
      </w:pPr>
      <w:r w:rsidRPr="00A22F29">
        <w:rPr>
          <w:rFonts w:ascii="Calibri" w:hAnsi="Calibri" w:cs="Calibri"/>
          <w:noProof/>
        </w:rPr>
        <w:t>3.06</w:t>
      </w:r>
      <w:r w:rsidRPr="00A22F29">
        <w:rPr>
          <w:rFonts w:ascii="Calibri" w:eastAsiaTheme="minorEastAsia" w:hAnsi="Calibri" w:cs="Calibri"/>
          <w:noProof/>
          <w:sz w:val="22"/>
          <w:szCs w:val="22"/>
        </w:rPr>
        <w:tab/>
      </w:r>
      <w:r w:rsidRPr="00A22F29">
        <w:rPr>
          <w:rFonts w:ascii="Calibri" w:hAnsi="Calibri" w:cs="Calibri"/>
          <w:noProof/>
        </w:rPr>
        <w:t>Information Available</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_Toc196294368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13</w:t>
      </w:r>
      <w:r w:rsidRPr="00A22F29">
        <w:rPr>
          <w:rFonts w:ascii="Calibri" w:hAnsi="Calibri" w:cs="Calibri"/>
          <w:noProof/>
        </w:rPr>
        <w:fldChar w:fldCharType="end"/>
      </w:r>
    </w:p>
    <w:p w14:paraId="08C472B9" w14:textId="7C76E9B6" w:rsidR="00A22F29" w:rsidRPr="00A22F29" w:rsidRDefault="00A22F29">
      <w:pPr>
        <w:pStyle w:val="TOC2"/>
        <w:tabs>
          <w:tab w:val="left" w:pos="1260"/>
        </w:tabs>
        <w:rPr>
          <w:rFonts w:ascii="Calibri" w:eastAsiaTheme="minorEastAsia" w:hAnsi="Calibri" w:cs="Calibri"/>
          <w:noProof/>
          <w:sz w:val="22"/>
          <w:szCs w:val="22"/>
        </w:rPr>
      </w:pPr>
      <w:r w:rsidRPr="00A22F29">
        <w:rPr>
          <w:rFonts w:ascii="Calibri" w:hAnsi="Calibri" w:cs="Calibri"/>
          <w:noProof/>
        </w:rPr>
        <w:t>3.07</w:t>
      </w:r>
      <w:r w:rsidRPr="00A22F29">
        <w:rPr>
          <w:rFonts w:ascii="Calibri" w:eastAsiaTheme="minorEastAsia" w:hAnsi="Calibri" w:cs="Calibri"/>
          <w:noProof/>
          <w:sz w:val="22"/>
          <w:szCs w:val="22"/>
        </w:rPr>
        <w:tab/>
      </w:r>
      <w:r w:rsidRPr="00A22F29">
        <w:rPr>
          <w:rFonts w:ascii="Calibri" w:hAnsi="Calibri" w:cs="Calibri"/>
          <w:noProof/>
        </w:rPr>
        <w:t>Use of Brand Names, etc.</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_Toc196294369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14</w:t>
      </w:r>
      <w:r w:rsidRPr="00A22F29">
        <w:rPr>
          <w:rFonts w:ascii="Calibri" w:hAnsi="Calibri" w:cs="Calibri"/>
          <w:noProof/>
        </w:rPr>
        <w:fldChar w:fldCharType="end"/>
      </w:r>
    </w:p>
    <w:p w14:paraId="7371D7BB" w14:textId="49FCC317" w:rsidR="00A22F29" w:rsidRPr="00A22F29" w:rsidRDefault="00A22F29">
      <w:pPr>
        <w:pStyle w:val="TOC2"/>
        <w:tabs>
          <w:tab w:val="left" w:pos="1260"/>
        </w:tabs>
        <w:rPr>
          <w:rFonts w:ascii="Calibri" w:eastAsiaTheme="minorEastAsia" w:hAnsi="Calibri" w:cs="Calibri"/>
          <w:noProof/>
          <w:sz w:val="22"/>
          <w:szCs w:val="22"/>
        </w:rPr>
      </w:pPr>
      <w:r w:rsidRPr="00A22F29">
        <w:rPr>
          <w:rFonts w:ascii="Calibri" w:hAnsi="Calibri" w:cs="Calibri"/>
          <w:noProof/>
        </w:rPr>
        <w:t>3.08</w:t>
      </w:r>
      <w:r w:rsidRPr="00A22F29">
        <w:rPr>
          <w:rFonts w:ascii="Calibri" w:eastAsiaTheme="minorEastAsia" w:hAnsi="Calibri" w:cs="Calibri"/>
          <w:noProof/>
          <w:sz w:val="22"/>
          <w:szCs w:val="22"/>
        </w:rPr>
        <w:tab/>
      </w:r>
      <w:r w:rsidRPr="00A22F29">
        <w:rPr>
          <w:rFonts w:ascii="Calibri" w:hAnsi="Calibri" w:cs="Calibri"/>
          <w:noProof/>
        </w:rPr>
        <w:t>Pricing</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_Toc196294370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14</w:t>
      </w:r>
      <w:r w:rsidRPr="00A22F29">
        <w:rPr>
          <w:rFonts w:ascii="Calibri" w:hAnsi="Calibri" w:cs="Calibri"/>
          <w:noProof/>
        </w:rPr>
        <w:fldChar w:fldCharType="end"/>
      </w:r>
    </w:p>
    <w:p w14:paraId="716E076F" w14:textId="0B918864" w:rsidR="00A22F29" w:rsidRPr="00A22F29" w:rsidRDefault="00A22F29">
      <w:pPr>
        <w:pStyle w:val="TOC2"/>
        <w:tabs>
          <w:tab w:val="left" w:pos="1260"/>
        </w:tabs>
        <w:rPr>
          <w:rFonts w:ascii="Calibri" w:eastAsiaTheme="minorEastAsia" w:hAnsi="Calibri" w:cs="Calibri"/>
          <w:noProof/>
          <w:sz w:val="22"/>
          <w:szCs w:val="22"/>
        </w:rPr>
      </w:pPr>
      <w:r w:rsidRPr="00A22F29">
        <w:rPr>
          <w:rFonts w:ascii="Calibri" w:hAnsi="Calibri" w:cs="Calibri"/>
          <w:noProof/>
        </w:rPr>
        <w:t>3.09</w:t>
      </w:r>
      <w:r w:rsidRPr="00A22F29">
        <w:rPr>
          <w:rFonts w:ascii="Calibri" w:eastAsiaTheme="minorEastAsia" w:hAnsi="Calibri" w:cs="Calibri"/>
          <w:noProof/>
          <w:sz w:val="22"/>
          <w:szCs w:val="22"/>
        </w:rPr>
        <w:tab/>
      </w:r>
      <w:r w:rsidRPr="00A22F29">
        <w:rPr>
          <w:rFonts w:ascii="Calibri" w:hAnsi="Calibri" w:cs="Calibri"/>
          <w:noProof/>
        </w:rPr>
        <w:t>Obligations Regarding End of Framework</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_Toc196294371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14</w:t>
      </w:r>
      <w:r w:rsidRPr="00A22F29">
        <w:rPr>
          <w:rFonts w:ascii="Calibri" w:hAnsi="Calibri" w:cs="Calibri"/>
          <w:noProof/>
        </w:rPr>
        <w:fldChar w:fldCharType="end"/>
      </w:r>
    </w:p>
    <w:p w14:paraId="252019BF" w14:textId="107844A6" w:rsidR="00A22F29" w:rsidRPr="00A22F29" w:rsidRDefault="00A22F29">
      <w:pPr>
        <w:pStyle w:val="TOC2"/>
        <w:tabs>
          <w:tab w:val="left" w:pos="1260"/>
        </w:tabs>
        <w:rPr>
          <w:rFonts w:ascii="Calibri" w:eastAsiaTheme="minorEastAsia" w:hAnsi="Calibri" w:cs="Calibri"/>
          <w:noProof/>
          <w:sz w:val="22"/>
          <w:szCs w:val="22"/>
        </w:rPr>
      </w:pPr>
      <w:r w:rsidRPr="00A22F29">
        <w:rPr>
          <w:rFonts w:ascii="Calibri" w:hAnsi="Calibri" w:cs="Calibri"/>
          <w:noProof/>
        </w:rPr>
        <w:t>3.10</w:t>
      </w:r>
      <w:r w:rsidRPr="00A22F29">
        <w:rPr>
          <w:rFonts w:ascii="Calibri" w:eastAsiaTheme="minorEastAsia" w:hAnsi="Calibri" w:cs="Calibri"/>
          <w:noProof/>
          <w:sz w:val="22"/>
          <w:szCs w:val="22"/>
        </w:rPr>
        <w:tab/>
      </w:r>
      <w:r w:rsidRPr="00A22F29">
        <w:rPr>
          <w:rFonts w:ascii="Calibri" w:hAnsi="Calibri" w:cs="Calibri"/>
          <w:noProof/>
        </w:rPr>
        <w:t>Health and Safety</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_Toc196294372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14</w:t>
      </w:r>
      <w:r w:rsidRPr="00A22F29">
        <w:rPr>
          <w:rFonts w:ascii="Calibri" w:hAnsi="Calibri" w:cs="Calibri"/>
          <w:noProof/>
        </w:rPr>
        <w:fldChar w:fldCharType="end"/>
      </w:r>
    </w:p>
    <w:p w14:paraId="5B8887EE" w14:textId="00EE2DB4" w:rsidR="00A22F29" w:rsidRPr="00A22F29" w:rsidRDefault="00A22F29">
      <w:pPr>
        <w:pStyle w:val="TOC2"/>
        <w:tabs>
          <w:tab w:val="left" w:pos="1260"/>
        </w:tabs>
        <w:rPr>
          <w:rFonts w:ascii="Calibri" w:eastAsiaTheme="minorEastAsia" w:hAnsi="Calibri" w:cs="Calibri"/>
          <w:noProof/>
          <w:sz w:val="22"/>
          <w:szCs w:val="22"/>
        </w:rPr>
      </w:pPr>
      <w:r w:rsidRPr="00A22F29">
        <w:rPr>
          <w:rFonts w:ascii="Calibri" w:hAnsi="Calibri" w:cs="Calibri"/>
          <w:noProof/>
        </w:rPr>
        <w:t>3.11</w:t>
      </w:r>
      <w:r w:rsidRPr="00A22F29">
        <w:rPr>
          <w:rFonts w:ascii="Calibri" w:eastAsiaTheme="minorEastAsia" w:hAnsi="Calibri" w:cs="Calibri"/>
          <w:noProof/>
          <w:sz w:val="22"/>
          <w:szCs w:val="22"/>
        </w:rPr>
        <w:tab/>
      </w:r>
      <w:r w:rsidRPr="00A22F29">
        <w:rPr>
          <w:rFonts w:ascii="Calibri" w:hAnsi="Calibri" w:cs="Calibri"/>
          <w:noProof/>
        </w:rPr>
        <w:t>Insurance</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_Toc196294373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14</w:t>
      </w:r>
      <w:r w:rsidRPr="00A22F29">
        <w:rPr>
          <w:rFonts w:ascii="Calibri" w:hAnsi="Calibri" w:cs="Calibri"/>
          <w:noProof/>
        </w:rPr>
        <w:fldChar w:fldCharType="end"/>
      </w:r>
    </w:p>
    <w:p w14:paraId="1FD3A39C" w14:textId="7F5A3E57" w:rsidR="00A22F29" w:rsidRPr="00A22F29" w:rsidRDefault="00A22F29">
      <w:pPr>
        <w:pStyle w:val="TOC2"/>
        <w:tabs>
          <w:tab w:val="left" w:pos="1260"/>
        </w:tabs>
        <w:rPr>
          <w:rFonts w:ascii="Calibri" w:eastAsiaTheme="minorEastAsia" w:hAnsi="Calibri" w:cs="Calibri"/>
          <w:noProof/>
          <w:sz w:val="22"/>
          <w:szCs w:val="22"/>
        </w:rPr>
      </w:pPr>
      <w:r w:rsidRPr="00A22F29">
        <w:rPr>
          <w:rFonts w:ascii="Calibri" w:hAnsi="Calibri" w:cs="Calibri"/>
          <w:noProof/>
        </w:rPr>
        <w:t>3.12</w:t>
      </w:r>
      <w:r w:rsidRPr="00A22F29">
        <w:rPr>
          <w:rFonts w:ascii="Calibri" w:eastAsiaTheme="minorEastAsia" w:hAnsi="Calibri" w:cs="Calibri"/>
          <w:noProof/>
          <w:sz w:val="22"/>
          <w:szCs w:val="22"/>
        </w:rPr>
        <w:tab/>
      </w:r>
      <w:r w:rsidRPr="00A22F29">
        <w:rPr>
          <w:rFonts w:ascii="Calibri" w:hAnsi="Calibri" w:cs="Calibri"/>
          <w:noProof/>
        </w:rPr>
        <w:t>Contract Management</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_Toc196294374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15</w:t>
      </w:r>
      <w:r w:rsidRPr="00A22F29">
        <w:rPr>
          <w:rFonts w:ascii="Calibri" w:hAnsi="Calibri" w:cs="Calibri"/>
          <w:noProof/>
        </w:rPr>
        <w:fldChar w:fldCharType="end"/>
      </w:r>
    </w:p>
    <w:p w14:paraId="15384B9A" w14:textId="2D30D10F" w:rsidR="00A22F29" w:rsidRPr="00A22F29" w:rsidRDefault="00A22F29">
      <w:pPr>
        <w:pStyle w:val="TOC2"/>
        <w:tabs>
          <w:tab w:val="left" w:pos="1260"/>
        </w:tabs>
        <w:rPr>
          <w:rFonts w:ascii="Calibri" w:eastAsiaTheme="minorEastAsia" w:hAnsi="Calibri" w:cs="Calibri"/>
          <w:noProof/>
          <w:sz w:val="22"/>
          <w:szCs w:val="22"/>
        </w:rPr>
      </w:pPr>
      <w:r w:rsidRPr="00A22F29">
        <w:rPr>
          <w:rFonts w:ascii="Calibri" w:hAnsi="Calibri" w:cs="Calibri"/>
          <w:noProof/>
        </w:rPr>
        <w:t>3.13</w:t>
      </w:r>
      <w:r w:rsidRPr="00A22F29">
        <w:rPr>
          <w:rFonts w:ascii="Calibri" w:eastAsiaTheme="minorEastAsia" w:hAnsi="Calibri" w:cs="Calibri"/>
          <w:noProof/>
          <w:sz w:val="22"/>
          <w:szCs w:val="22"/>
        </w:rPr>
        <w:tab/>
      </w:r>
      <w:r w:rsidRPr="00A22F29">
        <w:rPr>
          <w:rFonts w:ascii="Calibri" w:hAnsi="Calibri" w:cs="Calibri"/>
          <w:noProof/>
        </w:rPr>
        <w:t>Operation of A Service Level Agreement</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_Toc196294375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16</w:t>
      </w:r>
      <w:r w:rsidRPr="00A22F29">
        <w:rPr>
          <w:rFonts w:ascii="Calibri" w:hAnsi="Calibri" w:cs="Calibri"/>
          <w:noProof/>
        </w:rPr>
        <w:fldChar w:fldCharType="end"/>
      </w:r>
    </w:p>
    <w:p w14:paraId="2BB901B4" w14:textId="1F41D535" w:rsidR="00A22F29" w:rsidRPr="00A22F29" w:rsidRDefault="00A22F29">
      <w:pPr>
        <w:pStyle w:val="TOC1"/>
        <w:rPr>
          <w:rFonts w:ascii="Calibri" w:eastAsiaTheme="minorEastAsia" w:hAnsi="Calibri" w:cs="Calibri"/>
          <w:noProof/>
          <w:sz w:val="22"/>
          <w:szCs w:val="22"/>
        </w:rPr>
      </w:pPr>
      <w:r w:rsidRPr="00A22F29">
        <w:rPr>
          <w:rFonts w:ascii="Calibri" w:hAnsi="Calibri" w:cs="Calibri"/>
          <w:noProof/>
        </w:rPr>
        <w:t>4.</w:t>
      </w:r>
      <w:r w:rsidRPr="00A22F29">
        <w:rPr>
          <w:rFonts w:ascii="Calibri" w:eastAsiaTheme="minorEastAsia" w:hAnsi="Calibri" w:cs="Calibri"/>
          <w:noProof/>
          <w:sz w:val="22"/>
          <w:szCs w:val="22"/>
        </w:rPr>
        <w:tab/>
      </w:r>
      <w:r w:rsidRPr="00A22F29">
        <w:rPr>
          <w:rFonts w:ascii="Calibri" w:hAnsi="Calibri" w:cs="Calibri"/>
          <w:noProof/>
        </w:rPr>
        <w:t>Instructions to Tenderers</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_Toc196294376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17</w:t>
      </w:r>
      <w:r w:rsidRPr="00A22F29">
        <w:rPr>
          <w:rFonts w:ascii="Calibri" w:hAnsi="Calibri" w:cs="Calibri"/>
          <w:noProof/>
        </w:rPr>
        <w:fldChar w:fldCharType="end"/>
      </w:r>
    </w:p>
    <w:p w14:paraId="7383170D" w14:textId="1483EAFE" w:rsidR="00A22F29" w:rsidRPr="00A22F29" w:rsidRDefault="00A22F29">
      <w:pPr>
        <w:pStyle w:val="TOC2"/>
        <w:tabs>
          <w:tab w:val="left" w:pos="1260"/>
        </w:tabs>
        <w:rPr>
          <w:rFonts w:ascii="Calibri" w:eastAsiaTheme="minorEastAsia" w:hAnsi="Calibri" w:cs="Calibri"/>
          <w:noProof/>
          <w:sz w:val="22"/>
          <w:szCs w:val="22"/>
        </w:rPr>
      </w:pPr>
      <w:r w:rsidRPr="00A22F29">
        <w:rPr>
          <w:rFonts w:ascii="Calibri" w:hAnsi="Calibri" w:cs="Calibri"/>
          <w:noProof/>
        </w:rPr>
        <w:t>4.01</w:t>
      </w:r>
      <w:r w:rsidRPr="00A22F29">
        <w:rPr>
          <w:rFonts w:ascii="Calibri" w:eastAsiaTheme="minorEastAsia" w:hAnsi="Calibri" w:cs="Calibri"/>
          <w:noProof/>
          <w:sz w:val="22"/>
          <w:szCs w:val="22"/>
        </w:rPr>
        <w:tab/>
      </w:r>
      <w:r w:rsidRPr="00A22F29">
        <w:rPr>
          <w:rFonts w:ascii="Calibri" w:hAnsi="Calibri" w:cs="Calibri"/>
          <w:noProof/>
        </w:rPr>
        <w:t xml:space="preserve">Submission of Tenders via </w:t>
      </w:r>
      <w:r w:rsidRPr="00A22F29">
        <w:rPr>
          <w:rFonts w:ascii="Calibri" w:hAnsi="Calibri" w:cs="Calibri"/>
          <w:noProof/>
          <w:color w:val="008768" w:themeColor="accent1"/>
          <w:u w:val="single"/>
        </w:rPr>
        <w:t>www.etenders.gov.ie</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_Toc196294377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17</w:t>
      </w:r>
      <w:r w:rsidRPr="00A22F29">
        <w:rPr>
          <w:rFonts w:ascii="Calibri" w:hAnsi="Calibri" w:cs="Calibri"/>
          <w:noProof/>
        </w:rPr>
        <w:fldChar w:fldCharType="end"/>
      </w:r>
    </w:p>
    <w:p w14:paraId="07184490" w14:textId="1D1D2EB0" w:rsidR="00A22F29" w:rsidRPr="00A22F29" w:rsidRDefault="00A22F29">
      <w:pPr>
        <w:pStyle w:val="TOC2"/>
        <w:tabs>
          <w:tab w:val="left" w:pos="1260"/>
        </w:tabs>
        <w:rPr>
          <w:rFonts w:ascii="Calibri" w:eastAsiaTheme="minorEastAsia" w:hAnsi="Calibri" w:cs="Calibri"/>
          <w:noProof/>
          <w:sz w:val="22"/>
          <w:szCs w:val="22"/>
        </w:rPr>
      </w:pPr>
      <w:r w:rsidRPr="00A22F29">
        <w:rPr>
          <w:rFonts w:ascii="Calibri" w:hAnsi="Calibri" w:cs="Calibri"/>
          <w:noProof/>
        </w:rPr>
        <w:t>4.02</w:t>
      </w:r>
      <w:r w:rsidRPr="00A22F29">
        <w:rPr>
          <w:rFonts w:ascii="Calibri" w:eastAsiaTheme="minorEastAsia" w:hAnsi="Calibri" w:cs="Calibri"/>
          <w:noProof/>
          <w:sz w:val="22"/>
          <w:szCs w:val="22"/>
        </w:rPr>
        <w:tab/>
      </w:r>
      <w:r w:rsidRPr="00A22F29">
        <w:rPr>
          <w:rFonts w:ascii="Calibri" w:hAnsi="Calibri" w:cs="Calibri"/>
          <w:noProof/>
        </w:rPr>
        <w:t>Queries</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_Toc196294378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17</w:t>
      </w:r>
      <w:r w:rsidRPr="00A22F29">
        <w:rPr>
          <w:rFonts w:ascii="Calibri" w:hAnsi="Calibri" w:cs="Calibri"/>
          <w:noProof/>
        </w:rPr>
        <w:fldChar w:fldCharType="end"/>
      </w:r>
    </w:p>
    <w:p w14:paraId="490AFF16" w14:textId="018370B4" w:rsidR="00A22F29" w:rsidRPr="00A22F29" w:rsidRDefault="00A22F29">
      <w:pPr>
        <w:pStyle w:val="TOC2"/>
        <w:tabs>
          <w:tab w:val="left" w:pos="1260"/>
        </w:tabs>
        <w:rPr>
          <w:rFonts w:ascii="Calibri" w:eastAsiaTheme="minorEastAsia" w:hAnsi="Calibri" w:cs="Calibri"/>
          <w:noProof/>
          <w:sz w:val="22"/>
          <w:szCs w:val="22"/>
        </w:rPr>
      </w:pPr>
      <w:r w:rsidRPr="00A22F29">
        <w:rPr>
          <w:rFonts w:ascii="Calibri" w:hAnsi="Calibri" w:cs="Calibri"/>
          <w:noProof/>
        </w:rPr>
        <w:t>4.03</w:t>
      </w:r>
      <w:r w:rsidRPr="00A22F29">
        <w:rPr>
          <w:rFonts w:ascii="Calibri" w:eastAsiaTheme="minorEastAsia" w:hAnsi="Calibri" w:cs="Calibri"/>
          <w:noProof/>
          <w:sz w:val="22"/>
          <w:szCs w:val="22"/>
        </w:rPr>
        <w:tab/>
      </w:r>
      <w:r w:rsidRPr="00A22F29">
        <w:rPr>
          <w:rFonts w:ascii="Calibri" w:hAnsi="Calibri" w:cs="Calibri"/>
          <w:noProof/>
        </w:rPr>
        <w:t>Sufficiency &amp; Accuracy of Tender</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_Toc196294379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18</w:t>
      </w:r>
      <w:r w:rsidRPr="00A22F29">
        <w:rPr>
          <w:rFonts w:ascii="Calibri" w:hAnsi="Calibri" w:cs="Calibri"/>
          <w:noProof/>
        </w:rPr>
        <w:fldChar w:fldCharType="end"/>
      </w:r>
    </w:p>
    <w:p w14:paraId="45E8C05D" w14:textId="281C0A24" w:rsidR="00A22F29" w:rsidRPr="00A22F29" w:rsidRDefault="00A22F29">
      <w:pPr>
        <w:pStyle w:val="TOC2"/>
        <w:tabs>
          <w:tab w:val="left" w:pos="1260"/>
        </w:tabs>
        <w:rPr>
          <w:rFonts w:ascii="Calibri" w:eastAsiaTheme="minorEastAsia" w:hAnsi="Calibri" w:cs="Calibri"/>
          <w:noProof/>
          <w:sz w:val="22"/>
          <w:szCs w:val="22"/>
        </w:rPr>
      </w:pPr>
      <w:r w:rsidRPr="00A22F29">
        <w:rPr>
          <w:rFonts w:ascii="Calibri" w:hAnsi="Calibri" w:cs="Calibri"/>
          <w:noProof/>
        </w:rPr>
        <w:t>4.04</w:t>
      </w:r>
      <w:r w:rsidRPr="00A22F29">
        <w:rPr>
          <w:rFonts w:ascii="Calibri" w:eastAsiaTheme="minorEastAsia" w:hAnsi="Calibri" w:cs="Calibri"/>
          <w:noProof/>
          <w:sz w:val="22"/>
          <w:szCs w:val="22"/>
        </w:rPr>
        <w:tab/>
      </w:r>
      <w:r w:rsidRPr="00A22F29">
        <w:rPr>
          <w:rFonts w:ascii="Calibri" w:hAnsi="Calibri" w:cs="Calibri"/>
          <w:noProof/>
        </w:rPr>
        <w:t>Tender Documents – Ambiguity, Discrepancy, Error, Omission</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_Toc196294380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18</w:t>
      </w:r>
      <w:r w:rsidRPr="00A22F29">
        <w:rPr>
          <w:rFonts w:ascii="Calibri" w:hAnsi="Calibri" w:cs="Calibri"/>
          <w:noProof/>
        </w:rPr>
        <w:fldChar w:fldCharType="end"/>
      </w:r>
    </w:p>
    <w:p w14:paraId="0D2893AB" w14:textId="48D14E00" w:rsidR="00A22F29" w:rsidRPr="00A22F29" w:rsidRDefault="00A22F29">
      <w:pPr>
        <w:pStyle w:val="TOC2"/>
        <w:tabs>
          <w:tab w:val="left" w:pos="1260"/>
        </w:tabs>
        <w:rPr>
          <w:rFonts w:ascii="Calibri" w:eastAsiaTheme="minorEastAsia" w:hAnsi="Calibri" w:cs="Calibri"/>
          <w:noProof/>
          <w:sz w:val="22"/>
          <w:szCs w:val="22"/>
        </w:rPr>
      </w:pPr>
      <w:r w:rsidRPr="00A22F29">
        <w:rPr>
          <w:rFonts w:ascii="Calibri" w:hAnsi="Calibri" w:cs="Calibri"/>
          <w:noProof/>
        </w:rPr>
        <w:t>4.05</w:t>
      </w:r>
      <w:r w:rsidRPr="00A22F29">
        <w:rPr>
          <w:rFonts w:ascii="Calibri" w:eastAsiaTheme="minorEastAsia" w:hAnsi="Calibri" w:cs="Calibri"/>
          <w:noProof/>
          <w:sz w:val="22"/>
          <w:szCs w:val="22"/>
        </w:rPr>
        <w:tab/>
      </w:r>
      <w:r w:rsidRPr="00A22F29">
        <w:rPr>
          <w:rFonts w:ascii="Calibri" w:hAnsi="Calibri" w:cs="Calibri"/>
          <w:noProof/>
        </w:rPr>
        <w:t>Extension of Tender Period</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_Toc196294381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18</w:t>
      </w:r>
      <w:r w:rsidRPr="00A22F29">
        <w:rPr>
          <w:rFonts w:ascii="Calibri" w:hAnsi="Calibri" w:cs="Calibri"/>
          <w:noProof/>
        </w:rPr>
        <w:fldChar w:fldCharType="end"/>
      </w:r>
    </w:p>
    <w:p w14:paraId="68B5BF77" w14:textId="3EBA5D18" w:rsidR="00A22F29" w:rsidRPr="00A22F29" w:rsidRDefault="00A22F29">
      <w:pPr>
        <w:pStyle w:val="TOC2"/>
        <w:tabs>
          <w:tab w:val="left" w:pos="1260"/>
        </w:tabs>
        <w:rPr>
          <w:rFonts w:ascii="Calibri" w:eastAsiaTheme="minorEastAsia" w:hAnsi="Calibri" w:cs="Calibri"/>
          <w:noProof/>
          <w:sz w:val="22"/>
          <w:szCs w:val="22"/>
        </w:rPr>
      </w:pPr>
      <w:r w:rsidRPr="00A22F29">
        <w:rPr>
          <w:rFonts w:ascii="Calibri" w:hAnsi="Calibri" w:cs="Calibri"/>
          <w:noProof/>
        </w:rPr>
        <w:t>4.06</w:t>
      </w:r>
      <w:r w:rsidRPr="00A22F29">
        <w:rPr>
          <w:rFonts w:ascii="Calibri" w:eastAsiaTheme="minorEastAsia" w:hAnsi="Calibri" w:cs="Calibri"/>
          <w:noProof/>
          <w:sz w:val="22"/>
          <w:szCs w:val="22"/>
        </w:rPr>
        <w:tab/>
      </w:r>
      <w:r w:rsidRPr="00A22F29">
        <w:rPr>
          <w:rFonts w:ascii="Calibri" w:hAnsi="Calibri" w:cs="Calibri"/>
          <w:noProof/>
        </w:rPr>
        <w:t>Modifications to Tenders Prior to the Closing Date for Receipt of Tenders</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_Toc196294382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18</w:t>
      </w:r>
      <w:r w:rsidRPr="00A22F29">
        <w:rPr>
          <w:rFonts w:ascii="Calibri" w:hAnsi="Calibri" w:cs="Calibri"/>
          <w:noProof/>
        </w:rPr>
        <w:fldChar w:fldCharType="end"/>
      </w:r>
    </w:p>
    <w:p w14:paraId="1F7F28DA" w14:textId="191DE47B" w:rsidR="00A22F29" w:rsidRPr="00A22F29" w:rsidRDefault="00A22F29">
      <w:pPr>
        <w:pStyle w:val="TOC2"/>
        <w:tabs>
          <w:tab w:val="left" w:pos="1260"/>
        </w:tabs>
        <w:rPr>
          <w:rFonts w:ascii="Calibri" w:eastAsiaTheme="minorEastAsia" w:hAnsi="Calibri" w:cs="Calibri"/>
          <w:noProof/>
          <w:sz w:val="22"/>
          <w:szCs w:val="22"/>
        </w:rPr>
      </w:pPr>
      <w:r w:rsidRPr="00A22F29">
        <w:rPr>
          <w:rFonts w:ascii="Calibri" w:hAnsi="Calibri" w:cs="Calibri"/>
          <w:noProof/>
        </w:rPr>
        <w:t>4.07</w:t>
      </w:r>
      <w:r w:rsidRPr="00A22F29">
        <w:rPr>
          <w:rFonts w:ascii="Calibri" w:eastAsiaTheme="minorEastAsia" w:hAnsi="Calibri" w:cs="Calibri"/>
          <w:noProof/>
          <w:sz w:val="22"/>
          <w:szCs w:val="22"/>
        </w:rPr>
        <w:tab/>
      </w:r>
      <w:r w:rsidRPr="00A22F29">
        <w:rPr>
          <w:rFonts w:ascii="Calibri" w:hAnsi="Calibri" w:cs="Calibri"/>
          <w:noProof/>
        </w:rPr>
        <w:t>Cost of Preparation of Tender</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_Toc196294383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18</w:t>
      </w:r>
      <w:r w:rsidRPr="00A22F29">
        <w:rPr>
          <w:rFonts w:ascii="Calibri" w:hAnsi="Calibri" w:cs="Calibri"/>
          <w:noProof/>
        </w:rPr>
        <w:fldChar w:fldCharType="end"/>
      </w:r>
    </w:p>
    <w:p w14:paraId="6C4EE6E5" w14:textId="7B0C2B1F" w:rsidR="00A22F29" w:rsidRPr="00A22F29" w:rsidRDefault="00A22F29">
      <w:pPr>
        <w:pStyle w:val="TOC2"/>
        <w:tabs>
          <w:tab w:val="left" w:pos="1260"/>
        </w:tabs>
        <w:rPr>
          <w:rFonts w:ascii="Calibri" w:eastAsiaTheme="minorEastAsia" w:hAnsi="Calibri" w:cs="Calibri"/>
          <w:noProof/>
          <w:sz w:val="22"/>
          <w:szCs w:val="22"/>
        </w:rPr>
      </w:pPr>
      <w:r w:rsidRPr="00A22F29">
        <w:rPr>
          <w:rFonts w:ascii="Calibri" w:hAnsi="Calibri" w:cs="Calibri"/>
          <w:noProof/>
        </w:rPr>
        <w:t>4.08</w:t>
      </w:r>
      <w:r w:rsidRPr="00A22F29">
        <w:rPr>
          <w:rFonts w:ascii="Calibri" w:eastAsiaTheme="minorEastAsia" w:hAnsi="Calibri" w:cs="Calibri"/>
          <w:noProof/>
          <w:sz w:val="22"/>
          <w:szCs w:val="22"/>
        </w:rPr>
        <w:tab/>
      </w:r>
      <w:r w:rsidRPr="00A22F29">
        <w:rPr>
          <w:rFonts w:ascii="Calibri" w:hAnsi="Calibri" w:cs="Calibri"/>
          <w:noProof/>
        </w:rPr>
        <w:t>Funding Dependency</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_Toc196294384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19</w:t>
      </w:r>
      <w:r w:rsidRPr="00A22F29">
        <w:rPr>
          <w:rFonts w:ascii="Calibri" w:hAnsi="Calibri" w:cs="Calibri"/>
          <w:noProof/>
        </w:rPr>
        <w:fldChar w:fldCharType="end"/>
      </w:r>
    </w:p>
    <w:p w14:paraId="29FCC5C5" w14:textId="3D29F15A" w:rsidR="00A22F29" w:rsidRPr="00A22F29" w:rsidRDefault="00A22F29">
      <w:pPr>
        <w:pStyle w:val="TOC2"/>
        <w:tabs>
          <w:tab w:val="left" w:pos="1260"/>
        </w:tabs>
        <w:rPr>
          <w:rFonts w:ascii="Calibri" w:eastAsiaTheme="minorEastAsia" w:hAnsi="Calibri" w:cs="Calibri"/>
          <w:noProof/>
          <w:sz w:val="22"/>
          <w:szCs w:val="22"/>
        </w:rPr>
      </w:pPr>
      <w:r w:rsidRPr="00A22F29">
        <w:rPr>
          <w:rFonts w:ascii="Calibri" w:hAnsi="Calibri" w:cs="Calibri"/>
          <w:noProof/>
        </w:rPr>
        <w:t>4.09</w:t>
      </w:r>
      <w:r w:rsidRPr="00A22F29">
        <w:rPr>
          <w:rFonts w:ascii="Calibri" w:eastAsiaTheme="minorEastAsia" w:hAnsi="Calibri" w:cs="Calibri"/>
          <w:noProof/>
          <w:sz w:val="22"/>
          <w:szCs w:val="22"/>
        </w:rPr>
        <w:tab/>
      </w:r>
      <w:r w:rsidRPr="00A22F29">
        <w:rPr>
          <w:rFonts w:ascii="Calibri" w:hAnsi="Calibri" w:cs="Calibri"/>
          <w:noProof/>
        </w:rPr>
        <w:t>Tender Validity Period</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_Toc196294385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19</w:t>
      </w:r>
      <w:r w:rsidRPr="00A22F29">
        <w:rPr>
          <w:rFonts w:ascii="Calibri" w:hAnsi="Calibri" w:cs="Calibri"/>
          <w:noProof/>
        </w:rPr>
        <w:fldChar w:fldCharType="end"/>
      </w:r>
    </w:p>
    <w:p w14:paraId="613BE3AA" w14:textId="2A03DCEA" w:rsidR="00A22F29" w:rsidRPr="00A22F29" w:rsidRDefault="00A22F29">
      <w:pPr>
        <w:pStyle w:val="TOC2"/>
        <w:tabs>
          <w:tab w:val="left" w:pos="1260"/>
        </w:tabs>
        <w:rPr>
          <w:rFonts w:ascii="Calibri" w:eastAsiaTheme="minorEastAsia" w:hAnsi="Calibri" w:cs="Calibri"/>
          <w:noProof/>
          <w:sz w:val="22"/>
          <w:szCs w:val="22"/>
        </w:rPr>
      </w:pPr>
      <w:r w:rsidRPr="00A22F29">
        <w:rPr>
          <w:rFonts w:ascii="Calibri" w:hAnsi="Calibri" w:cs="Calibri"/>
          <w:noProof/>
        </w:rPr>
        <w:t>4.10</w:t>
      </w:r>
      <w:r w:rsidRPr="00A22F29">
        <w:rPr>
          <w:rFonts w:ascii="Calibri" w:eastAsiaTheme="minorEastAsia" w:hAnsi="Calibri" w:cs="Calibri"/>
          <w:noProof/>
          <w:sz w:val="22"/>
          <w:szCs w:val="22"/>
        </w:rPr>
        <w:tab/>
      </w:r>
      <w:r w:rsidRPr="00A22F29">
        <w:rPr>
          <w:rFonts w:ascii="Calibri" w:hAnsi="Calibri" w:cs="Calibri"/>
          <w:noProof/>
        </w:rPr>
        <w:t>Qualification of Tenders and Referential Bids</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_Toc196294386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19</w:t>
      </w:r>
      <w:r w:rsidRPr="00A22F29">
        <w:rPr>
          <w:rFonts w:ascii="Calibri" w:hAnsi="Calibri" w:cs="Calibri"/>
          <w:noProof/>
        </w:rPr>
        <w:fldChar w:fldCharType="end"/>
      </w:r>
    </w:p>
    <w:p w14:paraId="5199ED70" w14:textId="116F03E6" w:rsidR="00A22F29" w:rsidRPr="00A22F29" w:rsidRDefault="00A22F29">
      <w:pPr>
        <w:pStyle w:val="TOC2"/>
        <w:tabs>
          <w:tab w:val="left" w:pos="1260"/>
        </w:tabs>
        <w:rPr>
          <w:rFonts w:ascii="Calibri" w:eastAsiaTheme="minorEastAsia" w:hAnsi="Calibri" w:cs="Calibri"/>
          <w:noProof/>
          <w:sz w:val="22"/>
          <w:szCs w:val="22"/>
        </w:rPr>
      </w:pPr>
      <w:r w:rsidRPr="00A22F29">
        <w:rPr>
          <w:rFonts w:ascii="Calibri" w:hAnsi="Calibri" w:cs="Calibri"/>
          <w:noProof/>
        </w:rPr>
        <w:t>4.11</w:t>
      </w:r>
      <w:r w:rsidRPr="00A22F29">
        <w:rPr>
          <w:rFonts w:ascii="Calibri" w:eastAsiaTheme="minorEastAsia" w:hAnsi="Calibri" w:cs="Calibri"/>
          <w:noProof/>
          <w:sz w:val="22"/>
          <w:szCs w:val="22"/>
        </w:rPr>
        <w:tab/>
      </w:r>
      <w:r w:rsidRPr="00A22F29">
        <w:rPr>
          <w:rFonts w:ascii="Calibri" w:hAnsi="Calibri" w:cs="Calibri"/>
          <w:noProof/>
        </w:rPr>
        <w:t>Clarification of Tenders</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_Toc196294387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19</w:t>
      </w:r>
      <w:r w:rsidRPr="00A22F29">
        <w:rPr>
          <w:rFonts w:ascii="Calibri" w:hAnsi="Calibri" w:cs="Calibri"/>
          <w:noProof/>
        </w:rPr>
        <w:fldChar w:fldCharType="end"/>
      </w:r>
    </w:p>
    <w:p w14:paraId="1936C51F" w14:textId="5CA58D94" w:rsidR="00A22F29" w:rsidRPr="00A22F29" w:rsidRDefault="00A22F29">
      <w:pPr>
        <w:pStyle w:val="TOC2"/>
        <w:tabs>
          <w:tab w:val="left" w:pos="1260"/>
        </w:tabs>
        <w:rPr>
          <w:rFonts w:ascii="Calibri" w:eastAsiaTheme="minorEastAsia" w:hAnsi="Calibri" w:cs="Calibri"/>
          <w:noProof/>
          <w:sz w:val="22"/>
          <w:szCs w:val="22"/>
        </w:rPr>
      </w:pPr>
      <w:r w:rsidRPr="00A22F29">
        <w:rPr>
          <w:rFonts w:ascii="Calibri" w:hAnsi="Calibri" w:cs="Calibri"/>
          <w:noProof/>
        </w:rPr>
        <w:lastRenderedPageBreak/>
        <w:t>4.12</w:t>
      </w:r>
      <w:r w:rsidRPr="00A22F29">
        <w:rPr>
          <w:rFonts w:ascii="Calibri" w:eastAsiaTheme="minorEastAsia" w:hAnsi="Calibri" w:cs="Calibri"/>
          <w:noProof/>
          <w:sz w:val="22"/>
          <w:szCs w:val="22"/>
        </w:rPr>
        <w:tab/>
      </w:r>
      <w:r w:rsidRPr="00A22F29">
        <w:rPr>
          <w:rFonts w:ascii="Calibri" w:hAnsi="Calibri" w:cs="Calibri"/>
          <w:noProof/>
        </w:rPr>
        <w:t>Correction of Errors</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_Toc196294388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19</w:t>
      </w:r>
      <w:r w:rsidRPr="00A22F29">
        <w:rPr>
          <w:rFonts w:ascii="Calibri" w:hAnsi="Calibri" w:cs="Calibri"/>
          <w:noProof/>
        </w:rPr>
        <w:fldChar w:fldCharType="end"/>
      </w:r>
    </w:p>
    <w:p w14:paraId="6534EB29" w14:textId="56972DFA" w:rsidR="00A22F29" w:rsidRPr="00A22F29" w:rsidRDefault="00A22F29">
      <w:pPr>
        <w:pStyle w:val="TOC2"/>
        <w:tabs>
          <w:tab w:val="left" w:pos="1260"/>
        </w:tabs>
        <w:rPr>
          <w:rFonts w:ascii="Calibri" w:eastAsiaTheme="minorEastAsia" w:hAnsi="Calibri" w:cs="Calibri"/>
          <w:noProof/>
          <w:sz w:val="22"/>
          <w:szCs w:val="22"/>
        </w:rPr>
      </w:pPr>
      <w:r w:rsidRPr="00A22F29">
        <w:rPr>
          <w:rFonts w:ascii="Calibri" w:hAnsi="Calibri" w:cs="Calibri"/>
          <w:noProof/>
        </w:rPr>
        <w:t>4.13</w:t>
      </w:r>
      <w:r w:rsidRPr="00A22F29">
        <w:rPr>
          <w:rFonts w:ascii="Calibri" w:eastAsiaTheme="minorEastAsia" w:hAnsi="Calibri" w:cs="Calibri"/>
          <w:noProof/>
          <w:sz w:val="22"/>
          <w:szCs w:val="22"/>
        </w:rPr>
        <w:tab/>
      </w:r>
      <w:r w:rsidRPr="00A22F29">
        <w:rPr>
          <w:rFonts w:ascii="Calibri" w:hAnsi="Calibri" w:cs="Calibri"/>
          <w:noProof/>
        </w:rPr>
        <w:t>Confidentiality</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_Toc196294389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19</w:t>
      </w:r>
      <w:r w:rsidRPr="00A22F29">
        <w:rPr>
          <w:rFonts w:ascii="Calibri" w:hAnsi="Calibri" w:cs="Calibri"/>
          <w:noProof/>
        </w:rPr>
        <w:fldChar w:fldCharType="end"/>
      </w:r>
    </w:p>
    <w:p w14:paraId="3A2E66E0" w14:textId="209A45AC" w:rsidR="00A22F29" w:rsidRPr="00A22F29" w:rsidRDefault="00A22F29">
      <w:pPr>
        <w:pStyle w:val="TOC2"/>
        <w:tabs>
          <w:tab w:val="left" w:pos="1260"/>
        </w:tabs>
        <w:rPr>
          <w:rFonts w:ascii="Calibri" w:eastAsiaTheme="minorEastAsia" w:hAnsi="Calibri" w:cs="Calibri"/>
          <w:noProof/>
          <w:sz w:val="22"/>
          <w:szCs w:val="22"/>
        </w:rPr>
      </w:pPr>
      <w:r w:rsidRPr="00A22F29">
        <w:rPr>
          <w:rFonts w:ascii="Calibri" w:hAnsi="Calibri" w:cs="Calibri"/>
          <w:noProof/>
        </w:rPr>
        <w:t>4.14</w:t>
      </w:r>
      <w:r w:rsidRPr="00A22F29">
        <w:rPr>
          <w:rFonts w:ascii="Calibri" w:eastAsiaTheme="minorEastAsia" w:hAnsi="Calibri" w:cs="Calibri"/>
          <w:noProof/>
          <w:sz w:val="22"/>
          <w:szCs w:val="22"/>
        </w:rPr>
        <w:tab/>
      </w:r>
      <w:r w:rsidRPr="00A22F29">
        <w:rPr>
          <w:rFonts w:ascii="Calibri" w:hAnsi="Calibri" w:cs="Calibri"/>
          <w:noProof/>
        </w:rPr>
        <w:t>Conflict of Interest</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_Toc196294390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20</w:t>
      </w:r>
      <w:r w:rsidRPr="00A22F29">
        <w:rPr>
          <w:rFonts w:ascii="Calibri" w:hAnsi="Calibri" w:cs="Calibri"/>
          <w:noProof/>
        </w:rPr>
        <w:fldChar w:fldCharType="end"/>
      </w:r>
    </w:p>
    <w:p w14:paraId="212D7731" w14:textId="2921464C" w:rsidR="00A22F29" w:rsidRPr="00A22F29" w:rsidRDefault="00A22F29">
      <w:pPr>
        <w:pStyle w:val="TOC2"/>
        <w:tabs>
          <w:tab w:val="left" w:pos="1260"/>
        </w:tabs>
        <w:rPr>
          <w:rFonts w:ascii="Calibri" w:eastAsiaTheme="minorEastAsia" w:hAnsi="Calibri" w:cs="Calibri"/>
          <w:noProof/>
          <w:sz w:val="22"/>
          <w:szCs w:val="22"/>
        </w:rPr>
      </w:pPr>
      <w:r w:rsidRPr="00A22F29">
        <w:rPr>
          <w:rFonts w:ascii="Calibri" w:hAnsi="Calibri" w:cs="Calibri"/>
          <w:noProof/>
        </w:rPr>
        <w:t>4.15</w:t>
      </w:r>
      <w:r w:rsidRPr="00A22F29">
        <w:rPr>
          <w:rFonts w:ascii="Calibri" w:eastAsiaTheme="minorEastAsia" w:hAnsi="Calibri" w:cs="Calibri"/>
          <w:noProof/>
          <w:sz w:val="22"/>
          <w:szCs w:val="22"/>
        </w:rPr>
        <w:tab/>
      </w:r>
      <w:r w:rsidRPr="00A22F29">
        <w:rPr>
          <w:rFonts w:ascii="Calibri" w:hAnsi="Calibri" w:cs="Calibri"/>
          <w:noProof/>
        </w:rPr>
        <w:t>Currency and Payments</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_Toc196294391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20</w:t>
      </w:r>
      <w:r w:rsidRPr="00A22F29">
        <w:rPr>
          <w:rFonts w:ascii="Calibri" w:hAnsi="Calibri" w:cs="Calibri"/>
          <w:noProof/>
        </w:rPr>
        <w:fldChar w:fldCharType="end"/>
      </w:r>
    </w:p>
    <w:p w14:paraId="68426824" w14:textId="212A1390" w:rsidR="00A22F29" w:rsidRPr="00A22F29" w:rsidRDefault="00A22F29">
      <w:pPr>
        <w:pStyle w:val="TOC2"/>
        <w:tabs>
          <w:tab w:val="left" w:pos="1260"/>
        </w:tabs>
        <w:rPr>
          <w:rFonts w:ascii="Calibri" w:eastAsiaTheme="minorEastAsia" w:hAnsi="Calibri" w:cs="Calibri"/>
          <w:noProof/>
          <w:sz w:val="22"/>
          <w:szCs w:val="22"/>
        </w:rPr>
      </w:pPr>
      <w:r w:rsidRPr="00A22F29">
        <w:rPr>
          <w:rFonts w:ascii="Calibri" w:hAnsi="Calibri" w:cs="Calibri"/>
          <w:noProof/>
        </w:rPr>
        <w:t>4.16</w:t>
      </w:r>
      <w:r w:rsidRPr="00A22F29">
        <w:rPr>
          <w:rFonts w:ascii="Calibri" w:eastAsiaTheme="minorEastAsia" w:hAnsi="Calibri" w:cs="Calibri"/>
          <w:noProof/>
          <w:sz w:val="22"/>
          <w:szCs w:val="22"/>
        </w:rPr>
        <w:tab/>
      </w:r>
      <w:r w:rsidRPr="00A22F29">
        <w:rPr>
          <w:rFonts w:ascii="Calibri" w:hAnsi="Calibri" w:cs="Calibri"/>
          <w:noProof/>
        </w:rPr>
        <w:t>Tax Clearance</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_Toc196294392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20</w:t>
      </w:r>
      <w:r w:rsidRPr="00A22F29">
        <w:rPr>
          <w:rFonts w:ascii="Calibri" w:hAnsi="Calibri" w:cs="Calibri"/>
          <w:noProof/>
        </w:rPr>
        <w:fldChar w:fldCharType="end"/>
      </w:r>
    </w:p>
    <w:p w14:paraId="56A22902" w14:textId="59631190" w:rsidR="00A22F29" w:rsidRPr="00A22F29" w:rsidRDefault="00A22F29">
      <w:pPr>
        <w:pStyle w:val="TOC2"/>
        <w:tabs>
          <w:tab w:val="left" w:pos="1260"/>
        </w:tabs>
        <w:rPr>
          <w:rFonts w:ascii="Calibri" w:eastAsiaTheme="minorEastAsia" w:hAnsi="Calibri" w:cs="Calibri"/>
          <w:noProof/>
          <w:sz w:val="22"/>
          <w:szCs w:val="22"/>
        </w:rPr>
      </w:pPr>
      <w:r w:rsidRPr="00A22F29">
        <w:rPr>
          <w:rFonts w:ascii="Calibri" w:hAnsi="Calibri" w:cs="Calibri"/>
          <w:noProof/>
        </w:rPr>
        <w:t>4.17</w:t>
      </w:r>
      <w:r w:rsidRPr="00A22F29">
        <w:rPr>
          <w:rFonts w:ascii="Calibri" w:eastAsiaTheme="minorEastAsia" w:hAnsi="Calibri" w:cs="Calibri"/>
          <w:noProof/>
          <w:sz w:val="22"/>
          <w:szCs w:val="22"/>
        </w:rPr>
        <w:tab/>
      </w:r>
      <w:r w:rsidRPr="00A22F29">
        <w:rPr>
          <w:rFonts w:ascii="Calibri" w:hAnsi="Calibri" w:cs="Calibri"/>
          <w:noProof/>
        </w:rPr>
        <w:t>Withholding Tax</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_Toc196294393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20</w:t>
      </w:r>
      <w:r w:rsidRPr="00A22F29">
        <w:rPr>
          <w:rFonts w:ascii="Calibri" w:hAnsi="Calibri" w:cs="Calibri"/>
          <w:noProof/>
        </w:rPr>
        <w:fldChar w:fldCharType="end"/>
      </w:r>
    </w:p>
    <w:p w14:paraId="260C1C34" w14:textId="178B12D2" w:rsidR="00A22F29" w:rsidRPr="00A22F29" w:rsidRDefault="00A22F29">
      <w:pPr>
        <w:pStyle w:val="TOC2"/>
        <w:tabs>
          <w:tab w:val="left" w:pos="1260"/>
        </w:tabs>
        <w:rPr>
          <w:rFonts w:ascii="Calibri" w:eastAsiaTheme="minorEastAsia" w:hAnsi="Calibri" w:cs="Calibri"/>
          <w:noProof/>
          <w:sz w:val="22"/>
          <w:szCs w:val="22"/>
        </w:rPr>
      </w:pPr>
      <w:r w:rsidRPr="00A22F29">
        <w:rPr>
          <w:rFonts w:ascii="Calibri" w:hAnsi="Calibri" w:cs="Calibri"/>
          <w:noProof/>
        </w:rPr>
        <w:t>4.18</w:t>
      </w:r>
      <w:r w:rsidRPr="00A22F29">
        <w:rPr>
          <w:rFonts w:ascii="Calibri" w:eastAsiaTheme="minorEastAsia" w:hAnsi="Calibri" w:cs="Calibri"/>
          <w:noProof/>
          <w:sz w:val="22"/>
          <w:szCs w:val="22"/>
        </w:rPr>
        <w:tab/>
      </w:r>
      <w:r w:rsidRPr="00A22F29">
        <w:rPr>
          <w:rFonts w:ascii="Calibri" w:hAnsi="Calibri" w:cs="Calibri"/>
          <w:noProof/>
        </w:rPr>
        <w:t>Irish Legislation and Law</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_Toc196294394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21</w:t>
      </w:r>
      <w:r w:rsidRPr="00A22F29">
        <w:rPr>
          <w:rFonts w:ascii="Calibri" w:hAnsi="Calibri" w:cs="Calibri"/>
          <w:noProof/>
        </w:rPr>
        <w:fldChar w:fldCharType="end"/>
      </w:r>
    </w:p>
    <w:p w14:paraId="39A2AEA3" w14:textId="2168D6FA" w:rsidR="00A22F29" w:rsidRPr="00A22F29" w:rsidRDefault="00A22F29">
      <w:pPr>
        <w:pStyle w:val="TOC2"/>
        <w:tabs>
          <w:tab w:val="left" w:pos="1260"/>
        </w:tabs>
        <w:rPr>
          <w:rFonts w:ascii="Calibri" w:eastAsiaTheme="minorEastAsia" w:hAnsi="Calibri" w:cs="Calibri"/>
          <w:noProof/>
          <w:sz w:val="22"/>
          <w:szCs w:val="22"/>
        </w:rPr>
      </w:pPr>
      <w:r w:rsidRPr="00A22F29">
        <w:rPr>
          <w:rFonts w:ascii="Calibri" w:hAnsi="Calibri" w:cs="Calibri"/>
          <w:noProof/>
        </w:rPr>
        <w:t>4.19</w:t>
      </w:r>
      <w:r w:rsidRPr="00A22F29">
        <w:rPr>
          <w:rFonts w:ascii="Calibri" w:eastAsiaTheme="minorEastAsia" w:hAnsi="Calibri" w:cs="Calibri"/>
          <w:noProof/>
          <w:sz w:val="22"/>
          <w:szCs w:val="22"/>
        </w:rPr>
        <w:tab/>
      </w:r>
      <w:r w:rsidRPr="00A22F29">
        <w:rPr>
          <w:rFonts w:ascii="Calibri" w:hAnsi="Calibri" w:cs="Calibri"/>
          <w:noProof/>
        </w:rPr>
        <w:t>Compliance with All Relevant Employment Law Obligations</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_Toc196294395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21</w:t>
      </w:r>
      <w:r w:rsidRPr="00A22F29">
        <w:rPr>
          <w:rFonts w:ascii="Calibri" w:hAnsi="Calibri" w:cs="Calibri"/>
          <w:noProof/>
        </w:rPr>
        <w:fldChar w:fldCharType="end"/>
      </w:r>
    </w:p>
    <w:p w14:paraId="31128273" w14:textId="3D90129B" w:rsidR="00A22F29" w:rsidRPr="00A22F29" w:rsidRDefault="00A22F29">
      <w:pPr>
        <w:pStyle w:val="TOC2"/>
        <w:tabs>
          <w:tab w:val="left" w:pos="1260"/>
        </w:tabs>
        <w:rPr>
          <w:rFonts w:ascii="Calibri" w:eastAsiaTheme="minorEastAsia" w:hAnsi="Calibri" w:cs="Calibri"/>
          <w:noProof/>
          <w:sz w:val="22"/>
          <w:szCs w:val="22"/>
        </w:rPr>
      </w:pPr>
      <w:r w:rsidRPr="00A22F29">
        <w:rPr>
          <w:rFonts w:ascii="Calibri" w:hAnsi="Calibri" w:cs="Calibri"/>
          <w:noProof/>
        </w:rPr>
        <w:t>4.20</w:t>
      </w:r>
      <w:r w:rsidRPr="00A22F29">
        <w:rPr>
          <w:rFonts w:ascii="Calibri" w:eastAsiaTheme="minorEastAsia" w:hAnsi="Calibri" w:cs="Calibri"/>
          <w:noProof/>
          <w:sz w:val="22"/>
          <w:szCs w:val="22"/>
        </w:rPr>
        <w:tab/>
      </w:r>
      <w:r w:rsidRPr="00A22F29">
        <w:rPr>
          <w:rFonts w:ascii="Calibri" w:hAnsi="Calibri" w:cs="Calibri"/>
          <w:noProof/>
        </w:rPr>
        <w:t>Freedom of Information Act</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_Toc196294396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21</w:t>
      </w:r>
      <w:r w:rsidRPr="00A22F29">
        <w:rPr>
          <w:rFonts w:ascii="Calibri" w:hAnsi="Calibri" w:cs="Calibri"/>
          <w:noProof/>
        </w:rPr>
        <w:fldChar w:fldCharType="end"/>
      </w:r>
    </w:p>
    <w:p w14:paraId="2E234A73" w14:textId="70E787FF" w:rsidR="00A22F29" w:rsidRPr="00A22F29" w:rsidRDefault="00A22F29">
      <w:pPr>
        <w:pStyle w:val="TOC2"/>
        <w:tabs>
          <w:tab w:val="left" w:pos="1260"/>
        </w:tabs>
        <w:rPr>
          <w:rFonts w:ascii="Calibri" w:eastAsiaTheme="minorEastAsia" w:hAnsi="Calibri" w:cs="Calibri"/>
          <w:noProof/>
          <w:sz w:val="22"/>
          <w:szCs w:val="22"/>
        </w:rPr>
      </w:pPr>
      <w:r w:rsidRPr="00A22F29">
        <w:rPr>
          <w:rFonts w:ascii="Calibri" w:hAnsi="Calibri" w:cs="Calibri"/>
          <w:noProof/>
        </w:rPr>
        <w:t>4.21</w:t>
      </w:r>
      <w:r w:rsidRPr="00A22F29">
        <w:rPr>
          <w:rFonts w:ascii="Calibri" w:eastAsiaTheme="minorEastAsia" w:hAnsi="Calibri" w:cs="Calibri"/>
          <w:noProof/>
          <w:sz w:val="22"/>
          <w:szCs w:val="22"/>
        </w:rPr>
        <w:tab/>
      </w:r>
      <w:r w:rsidRPr="00A22F29">
        <w:rPr>
          <w:rFonts w:ascii="Calibri" w:hAnsi="Calibri" w:cs="Calibri"/>
          <w:noProof/>
        </w:rPr>
        <w:t>Dignity at Work</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_Toc196294397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22</w:t>
      </w:r>
      <w:r w:rsidRPr="00A22F29">
        <w:rPr>
          <w:rFonts w:ascii="Calibri" w:hAnsi="Calibri" w:cs="Calibri"/>
          <w:noProof/>
        </w:rPr>
        <w:fldChar w:fldCharType="end"/>
      </w:r>
    </w:p>
    <w:p w14:paraId="1AEBDAFF" w14:textId="60741290" w:rsidR="00A22F29" w:rsidRPr="00A22F29" w:rsidRDefault="00A22F29">
      <w:pPr>
        <w:pStyle w:val="TOC2"/>
        <w:tabs>
          <w:tab w:val="left" w:pos="1260"/>
        </w:tabs>
        <w:rPr>
          <w:rFonts w:ascii="Calibri" w:eastAsiaTheme="minorEastAsia" w:hAnsi="Calibri" w:cs="Calibri"/>
          <w:noProof/>
          <w:sz w:val="22"/>
          <w:szCs w:val="22"/>
        </w:rPr>
      </w:pPr>
      <w:r w:rsidRPr="00A22F29">
        <w:rPr>
          <w:rFonts w:ascii="Calibri" w:hAnsi="Calibri" w:cs="Calibri"/>
          <w:noProof/>
        </w:rPr>
        <w:t>4.22</w:t>
      </w:r>
      <w:r w:rsidRPr="00A22F29">
        <w:rPr>
          <w:rFonts w:ascii="Calibri" w:eastAsiaTheme="minorEastAsia" w:hAnsi="Calibri" w:cs="Calibri"/>
          <w:noProof/>
          <w:sz w:val="22"/>
          <w:szCs w:val="22"/>
        </w:rPr>
        <w:tab/>
      </w:r>
      <w:r w:rsidRPr="00A22F29">
        <w:rPr>
          <w:rFonts w:ascii="Calibri" w:hAnsi="Calibri" w:cs="Calibri"/>
          <w:noProof/>
        </w:rPr>
        <w:t>Change in the Composition of a Tender</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_Toc196294398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22</w:t>
      </w:r>
      <w:r w:rsidRPr="00A22F29">
        <w:rPr>
          <w:rFonts w:ascii="Calibri" w:hAnsi="Calibri" w:cs="Calibri"/>
          <w:noProof/>
        </w:rPr>
        <w:fldChar w:fldCharType="end"/>
      </w:r>
    </w:p>
    <w:p w14:paraId="653D2B79" w14:textId="7017E206" w:rsidR="00A22F29" w:rsidRPr="00A22F29" w:rsidRDefault="00A22F29">
      <w:pPr>
        <w:pStyle w:val="TOC2"/>
        <w:tabs>
          <w:tab w:val="left" w:pos="1260"/>
        </w:tabs>
        <w:rPr>
          <w:rFonts w:ascii="Calibri" w:eastAsiaTheme="minorEastAsia" w:hAnsi="Calibri" w:cs="Calibri"/>
          <w:noProof/>
          <w:sz w:val="22"/>
          <w:szCs w:val="22"/>
        </w:rPr>
      </w:pPr>
      <w:r w:rsidRPr="00A22F29">
        <w:rPr>
          <w:rFonts w:ascii="Calibri" w:hAnsi="Calibri" w:cs="Calibri"/>
          <w:noProof/>
        </w:rPr>
        <w:t>4.23</w:t>
      </w:r>
      <w:r w:rsidRPr="00A22F29">
        <w:rPr>
          <w:rFonts w:ascii="Calibri" w:eastAsiaTheme="minorEastAsia" w:hAnsi="Calibri" w:cs="Calibri"/>
          <w:noProof/>
          <w:sz w:val="22"/>
          <w:szCs w:val="22"/>
        </w:rPr>
        <w:tab/>
      </w:r>
      <w:r w:rsidRPr="00A22F29">
        <w:rPr>
          <w:rFonts w:ascii="Calibri" w:hAnsi="Calibri" w:cs="Calibri"/>
          <w:noProof/>
        </w:rPr>
        <w:t>Interference and Inducement to Purchase</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_Toc196294399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22</w:t>
      </w:r>
      <w:r w:rsidRPr="00A22F29">
        <w:rPr>
          <w:rFonts w:ascii="Calibri" w:hAnsi="Calibri" w:cs="Calibri"/>
          <w:noProof/>
        </w:rPr>
        <w:fldChar w:fldCharType="end"/>
      </w:r>
    </w:p>
    <w:p w14:paraId="76B99BB1" w14:textId="3F629E51" w:rsidR="00A22F29" w:rsidRPr="00A22F29" w:rsidRDefault="00A22F29">
      <w:pPr>
        <w:pStyle w:val="TOC2"/>
        <w:tabs>
          <w:tab w:val="left" w:pos="1260"/>
        </w:tabs>
        <w:rPr>
          <w:rFonts w:ascii="Calibri" w:eastAsiaTheme="minorEastAsia" w:hAnsi="Calibri" w:cs="Calibri"/>
          <w:noProof/>
          <w:sz w:val="22"/>
          <w:szCs w:val="22"/>
        </w:rPr>
      </w:pPr>
      <w:r w:rsidRPr="00A22F29">
        <w:rPr>
          <w:rFonts w:ascii="Calibri" w:hAnsi="Calibri" w:cs="Calibri"/>
          <w:noProof/>
        </w:rPr>
        <w:t>4.24</w:t>
      </w:r>
      <w:r w:rsidRPr="00A22F29">
        <w:rPr>
          <w:rFonts w:ascii="Calibri" w:eastAsiaTheme="minorEastAsia" w:hAnsi="Calibri" w:cs="Calibri"/>
          <w:noProof/>
          <w:sz w:val="22"/>
          <w:szCs w:val="22"/>
        </w:rPr>
        <w:tab/>
      </w:r>
      <w:r w:rsidRPr="00A22F29">
        <w:rPr>
          <w:rFonts w:ascii="Calibri" w:hAnsi="Calibri" w:cs="Calibri"/>
          <w:noProof/>
        </w:rPr>
        <w:t>Notification of Tender Evaluations</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_Toc196294400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22</w:t>
      </w:r>
      <w:r w:rsidRPr="00A22F29">
        <w:rPr>
          <w:rFonts w:ascii="Calibri" w:hAnsi="Calibri" w:cs="Calibri"/>
          <w:noProof/>
        </w:rPr>
        <w:fldChar w:fldCharType="end"/>
      </w:r>
    </w:p>
    <w:p w14:paraId="4996D43B" w14:textId="1F2309FD" w:rsidR="00A22F29" w:rsidRPr="00A22F29" w:rsidRDefault="00A22F29">
      <w:pPr>
        <w:pStyle w:val="TOC2"/>
        <w:tabs>
          <w:tab w:val="left" w:pos="1260"/>
        </w:tabs>
        <w:rPr>
          <w:rFonts w:ascii="Calibri" w:eastAsiaTheme="minorEastAsia" w:hAnsi="Calibri" w:cs="Calibri"/>
          <w:noProof/>
          <w:sz w:val="22"/>
          <w:szCs w:val="22"/>
        </w:rPr>
      </w:pPr>
      <w:r w:rsidRPr="00A22F29">
        <w:rPr>
          <w:rFonts w:ascii="Calibri" w:hAnsi="Calibri" w:cs="Calibri"/>
          <w:noProof/>
        </w:rPr>
        <w:t>4.25</w:t>
      </w:r>
      <w:r w:rsidRPr="00A22F29">
        <w:rPr>
          <w:rFonts w:ascii="Calibri" w:eastAsiaTheme="minorEastAsia" w:hAnsi="Calibri" w:cs="Calibri"/>
          <w:noProof/>
          <w:sz w:val="22"/>
          <w:szCs w:val="22"/>
        </w:rPr>
        <w:tab/>
      </w:r>
      <w:r w:rsidRPr="00A22F29">
        <w:rPr>
          <w:rFonts w:ascii="Calibri" w:hAnsi="Calibri" w:cs="Calibri"/>
          <w:noProof/>
        </w:rPr>
        <w:t>Award Notices</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_Toc196294401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22</w:t>
      </w:r>
      <w:r w:rsidRPr="00A22F29">
        <w:rPr>
          <w:rFonts w:ascii="Calibri" w:hAnsi="Calibri" w:cs="Calibri"/>
          <w:noProof/>
        </w:rPr>
        <w:fldChar w:fldCharType="end"/>
      </w:r>
    </w:p>
    <w:p w14:paraId="3A58A9E2" w14:textId="08219410" w:rsidR="00A22F29" w:rsidRPr="00A22F29" w:rsidRDefault="00A22F29">
      <w:pPr>
        <w:pStyle w:val="TOC2"/>
        <w:tabs>
          <w:tab w:val="left" w:pos="1260"/>
        </w:tabs>
        <w:rPr>
          <w:rFonts w:ascii="Calibri" w:eastAsiaTheme="minorEastAsia" w:hAnsi="Calibri" w:cs="Calibri"/>
          <w:noProof/>
          <w:sz w:val="22"/>
          <w:szCs w:val="22"/>
        </w:rPr>
      </w:pPr>
      <w:r w:rsidRPr="00A22F29">
        <w:rPr>
          <w:rFonts w:ascii="Calibri" w:hAnsi="Calibri" w:cs="Calibri"/>
          <w:noProof/>
        </w:rPr>
        <w:t>4.26</w:t>
      </w:r>
      <w:r w:rsidRPr="00A22F29">
        <w:rPr>
          <w:rFonts w:ascii="Calibri" w:eastAsiaTheme="minorEastAsia" w:hAnsi="Calibri" w:cs="Calibri"/>
          <w:noProof/>
          <w:sz w:val="22"/>
          <w:szCs w:val="22"/>
        </w:rPr>
        <w:tab/>
      </w:r>
      <w:r w:rsidRPr="00A22F29">
        <w:rPr>
          <w:rFonts w:ascii="Calibri" w:hAnsi="Calibri" w:cs="Calibri"/>
          <w:noProof/>
        </w:rPr>
        <w:t>Policy on Personal Debriefings</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_Toc196294402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23</w:t>
      </w:r>
      <w:r w:rsidRPr="00A22F29">
        <w:rPr>
          <w:rFonts w:ascii="Calibri" w:hAnsi="Calibri" w:cs="Calibri"/>
          <w:noProof/>
        </w:rPr>
        <w:fldChar w:fldCharType="end"/>
      </w:r>
    </w:p>
    <w:p w14:paraId="767A23C2" w14:textId="443EE4D3" w:rsidR="00A22F29" w:rsidRPr="00A22F29" w:rsidRDefault="00A22F29">
      <w:pPr>
        <w:pStyle w:val="TOC2"/>
        <w:tabs>
          <w:tab w:val="left" w:pos="1260"/>
        </w:tabs>
        <w:rPr>
          <w:rFonts w:ascii="Calibri" w:eastAsiaTheme="minorEastAsia" w:hAnsi="Calibri" w:cs="Calibri"/>
          <w:noProof/>
          <w:sz w:val="22"/>
          <w:szCs w:val="22"/>
        </w:rPr>
      </w:pPr>
      <w:r w:rsidRPr="00A22F29">
        <w:rPr>
          <w:rFonts w:ascii="Calibri" w:hAnsi="Calibri" w:cs="Calibri"/>
          <w:noProof/>
        </w:rPr>
        <w:t>4.27</w:t>
      </w:r>
      <w:r w:rsidRPr="00A22F29">
        <w:rPr>
          <w:rFonts w:ascii="Calibri" w:eastAsiaTheme="minorEastAsia" w:hAnsi="Calibri" w:cs="Calibri"/>
          <w:noProof/>
          <w:sz w:val="22"/>
          <w:szCs w:val="22"/>
        </w:rPr>
        <w:tab/>
      </w:r>
      <w:r w:rsidRPr="00A22F29">
        <w:rPr>
          <w:rFonts w:ascii="Calibri" w:hAnsi="Calibri" w:cs="Calibri"/>
          <w:noProof/>
        </w:rPr>
        <w:t>Brand Names, etc.</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_Toc196294403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23</w:t>
      </w:r>
      <w:r w:rsidRPr="00A22F29">
        <w:rPr>
          <w:rFonts w:ascii="Calibri" w:hAnsi="Calibri" w:cs="Calibri"/>
          <w:noProof/>
        </w:rPr>
        <w:fldChar w:fldCharType="end"/>
      </w:r>
    </w:p>
    <w:p w14:paraId="46BAAF74" w14:textId="33C3AFD6" w:rsidR="00A22F29" w:rsidRPr="00A22F29" w:rsidRDefault="00A22F29">
      <w:pPr>
        <w:pStyle w:val="TOC2"/>
        <w:tabs>
          <w:tab w:val="left" w:pos="1260"/>
        </w:tabs>
        <w:rPr>
          <w:rFonts w:ascii="Calibri" w:eastAsiaTheme="minorEastAsia" w:hAnsi="Calibri" w:cs="Calibri"/>
          <w:noProof/>
          <w:sz w:val="22"/>
          <w:szCs w:val="22"/>
        </w:rPr>
      </w:pPr>
      <w:r w:rsidRPr="00A22F29">
        <w:rPr>
          <w:rFonts w:ascii="Calibri" w:hAnsi="Calibri" w:cs="Calibri"/>
          <w:noProof/>
        </w:rPr>
        <w:t>4.28</w:t>
      </w:r>
      <w:r w:rsidRPr="00A22F29">
        <w:rPr>
          <w:rFonts w:ascii="Calibri" w:eastAsiaTheme="minorEastAsia" w:hAnsi="Calibri" w:cs="Calibri"/>
          <w:noProof/>
          <w:sz w:val="22"/>
          <w:szCs w:val="22"/>
        </w:rPr>
        <w:tab/>
      </w:r>
      <w:r w:rsidRPr="00A22F29">
        <w:rPr>
          <w:rFonts w:ascii="Calibri" w:hAnsi="Calibri" w:cs="Calibri"/>
          <w:noProof/>
        </w:rPr>
        <w:t>Right Not to Award</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_Toc196294404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23</w:t>
      </w:r>
      <w:r w:rsidRPr="00A22F29">
        <w:rPr>
          <w:rFonts w:ascii="Calibri" w:hAnsi="Calibri" w:cs="Calibri"/>
          <w:noProof/>
        </w:rPr>
        <w:fldChar w:fldCharType="end"/>
      </w:r>
    </w:p>
    <w:p w14:paraId="02E9D73A" w14:textId="4F373974" w:rsidR="00A22F29" w:rsidRPr="00A22F29" w:rsidRDefault="00A22F29">
      <w:pPr>
        <w:pStyle w:val="TOC2"/>
        <w:tabs>
          <w:tab w:val="left" w:pos="1260"/>
        </w:tabs>
        <w:rPr>
          <w:rFonts w:ascii="Calibri" w:eastAsiaTheme="minorEastAsia" w:hAnsi="Calibri" w:cs="Calibri"/>
          <w:noProof/>
          <w:sz w:val="22"/>
          <w:szCs w:val="22"/>
        </w:rPr>
      </w:pPr>
      <w:r w:rsidRPr="00A22F29">
        <w:rPr>
          <w:rFonts w:ascii="Calibri" w:hAnsi="Calibri" w:cs="Calibri"/>
          <w:noProof/>
        </w:rPr>
        <w:t>4.29</w:t>
      </w:r>
      <w:r w:rsidRPr="00A22F29">
        <w:rPr>
          <w:rFonts w:ascii="Calibri" w:eastAsiaTheme="minorEastAsia" w:hAnsi="Calibri" w:cs="Calibri"/>
          <w:noProof/>
          <w:sz w:val="22"/>
          <w:szCs w:val="22"/>
        </w:rPr>
        <w:tab/>
      </w:r>
      <w:r w:rsidRPr="00A22F29">
        <w:rPr>
          <w:rFonts w:ascii="Calibri" w:hAnsi="Calibri" w:cs="Calibri"/>
          <w:noProof/>
        </w:rPr>
        <w:t>Environmental Aspects</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_Toc196294405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23</w:t>
      </w:r>
      <w:r w:rsidRPr="00A22F29">
        <w:rPr>
          <w:rFonts w:ascii="Calibri" w:hAnsi="Calibri" w:cs="Calibri"/>
          <w:noProof/>
        </w:rPr>
        <w:fldChar w:fldCharType="end"/>
      </w:r>
    </w:p>
    <w:p w14:paraId="5FF276A1" w14:textId="6FDC64CD" w:rsidR="00A22F29" w:rsidRPr="00A22F29" w:rsidRDefault="00A22F29">
      <w:pPr>
        <w:pStyle w:val="TOC2"/>
        <w:tabs>
          <w:tab w:val="left" w:pos="1260"/>
        </w:tabs>
        <w:rPr>
          <w:rFonts w:ascii="Calibri" w:eastAsiaTheme="minorEastAsia" w:hAnsi="Calibri" w:cs="Calibri"/>
          <w:noProof/>
          <w:sz w:val="22"/>
          <w:szCs w:val="22"/>
        </w:rPr>
      </w:pPr>
      <w:r w:rsidRPr="00A22F29">
        <w:rPr>
          <w:rFonts w:ascii="Calibri" w:hAnsi="Calibri" w:cs="Calibri"/>
          <w:noProof/>
        </w:rPr>
        <w:t>4.30</w:t>
      </w:r>
      <w:r w:rsidRPr="00A22F29">
        <w:rPr>
          <w:rFonts w:ascii="Calibri" w:eastAsiaTheme="minorEastAsia" w:hAnsi="Calibri" w:cs="Calibri"/>
          <w:noProof/>
          <w:sz w:val="22"/>
          <w:szCs w:val="22"/>
        </w:rPr>
        <w:tab/>
      </w:r>
      <w:r w:rsidRPr="00A22F29">
        <w:rPr>
          <w:rFonts w:ascii="Calibri" w:hAnsi="Calibri" w:cs="Calibri"/>
          <w:noProof/>
        </w:rPr>
        <w:t>Knowledge and Skills Transfer</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_Toc196294406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23</w:t>
      </w:r>
      <w:r w:rsidRPr="00A22F29">
        <w:rPr>
          <w:rFonts w:ascii="Calibri" w:hAnsi="Calibri" w:cs="Calibri"/>
          <w:noProof/>
        </w:rPr>
        <w:fldChar w:fldCharType="end"/>
      </w:r>
    </w:p>
    <w:p w14:paraId="73BDDEEC" w14:textId="1CCF9F41" w:rsidR="00A22F29" w:rsidRPr="00A22F29" w:rsidRDefault="00A22F29">
      <w:pPr>
        <w:pStyle w:val="TOC2"/>
        <w:tabs>
          <w:tab w:val="left" w:pos="1260"/>
        </w:tabs>
        <w:rPr>
          <w:rFonts w:ascii="Calibri" w:eastAsiaTheme="minorEastAsia" w:hAnsi="Calibri" w:cs="Calibri"/>
          <w:noProof/>
          <w:sz w:val="22"/>
          <w:szCs w:val="22"/>
        </w:rPr>
      </w:pPr>
      <w:r w:rsidRPr="00A22F29">
        <w:rPr>
          <w:rFonts w:ascii="Calibri" w:hAnsi="Calibri" w:cs="Calibri"/>
          <w:noProof/>
        </w:rPr>
        <w:t>4.31</w:t>
      </w:r>
      <w:r w:rsidRPr="00A22F29">
        <w:rPr>
          <w:rFonts w:ascii="Calibri" w:eastAsiaTheme="minorEastAsia" w:hAnsi="Calibri" w:cs="Calibri"/>
          <w:noProof/>
          <w:sz w:val="22"/>
          <w:szCs w:val="22"/>
        </w:rPr>
        <w:tab/>
      </w:r>
      <w:r w:rsidRPr="00A22F29">
        <w:rPr>
          <w:rFonts w:ascii="Calibri" w:hAnsi="Calibri" w:cs="Calibri"/>
          <w:noProof/>
        </w:rPr>
        <w:t>Collusive Tendering</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_Toc196294407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23</w:t>
      </w:r>
      <w:r w:rsidRPr="00A22F29">
        <w:rPr>
          <w:rFonts w:ascii="Calibri" w:hAnsi="Calibri" w:cs="Calibri"/>
          <w:noProof/>
        </w:rPr>
        <w:fldChar w:fldCharType="end"/>
      </w:r>
    </w:p>
    <w:p w14:paraId="561DEBCF" w14:textId="4F9DA571" w:rsidR="00A22F29" w:rsidRPr="00A22F29" w:rsidRDefault="00A22F29">
      <w:pPr>
        <w:pStyle w:val="TOC2"/>
        <w:tabs>
          <w:tab w:val="left" w:pos="1260"/>
        </w:tabs>
        <w:rPr>
          <w:rFonts w:ascii="Calibri" w:eastAsiaTheme="minorEastAsia" w:hAnsi="Calibri" w:cs="Calibri"/>
          <w:noProof/>
          <w:sz w:val="22"/>
          <w:szCs w:val="22"/>
        </w:rPr>
      </w:pPr>
      <w:r w:rsidRPr="00A22F29">
        <w:rPr>
          <w:rFonts w:ascii="Calibri" w:hAnsi="Calibri" w:cs="Calibri"/>
          <w:noProof/>
        </w:rPr>
        <w:t>4.32</w:t>
      </w:r>
      <w:r w:rsidRPr="00A22F29">
        <w:rPr>
          <w:rFonts w:ascii="Calibri" w:eastAsiaTheme="minorEastAsia" w:hAnsi="Calibri" w:cs="Calibri"/>
          <w:noProof/>
          <w:sz w:val="22"/>
          <w:szCs w:val="22"/>
        </w:rPr>
        <w:tab/>
      </w:r>
      <w:r w:rsidRPr="00A22F29">
        <w:rPr>
          <w:rFonts w:ascii="Calibri" w:hAnsi="Calibri" w:cs="Calibri"/>
          <w:noProof/>
        </w:rPr>
        <w:t>Consortia And Prime Subconsultants</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_Toc196294408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23</w:t>
      </w:r>
      <w:r w:rsidRPr="00A22F29">
        <w:rPr>
          <w:rFonts w:ascii="Calibri" w:hAnsi="Calibri" w:cs="Calibri"/>
          <w:noProof/>
        </w:rPr>
        <w:fldChar w:fldCharType="end"/>
      </w:r>
    </w:p>
    <w:p w14:paraId="54EC4994" w14:textId="605C7C1A" w:rsidR="00A22F29" w:rsidRPr="00A22F29" w:rsidRDefault="00A22F29">
      <w:pPr>
        <w:pStyle w:val="TOC2"/>
        <w:tabs>
          <w:tab w:val="left" w:pos="1260"/>
        </w:tabs>
        <w:rPr>
          <w:rFonts w:ascii="Calibri" w:eastAsiaTheme="minorEastAsia" w:hAnsi="Calibri" w:cs="Calibri"/>
          <w:noProof/>
          <w:sz w:val="22"/>
          <w:szCs w:val="22"/>
        </w:rPr>
      </w:pPr>
      <w:r w:rsidRPr="00A22F29">
        <w:rPr>
          <w:rFonts w:ascii="Calibri" w:hAnsi="Calibri" w:cs="Calibri"/>
          <w:noProof/>
        </w:rPr>
        <w:t>4.33</w:t>
      </w:r>
      <w:r w:rsidRPr="00A22F29">
        <w:rPr>
          <w:rFonts w:ascii="Calibri" w:eastAsiaTheme="minorEastAsia" w:hAnsi="Calibri" w:cs="Calibri"/>
          <w:noProof/>
          <w:sz w:val="22"/>
          <w:szCs w:val="22"/>
        </w:rPr>
        <w:tab/>
      </w:r>
      <w:r w:rsidRPr="00A22F29">
        <w:rPr>
          <w:rFonts w:ascii="Calibri" w:hAnsi="Calibri" w:cs="Calibri"/>
          <w:noProof/>
        </w:rPr>
        <w:t>Relying on the Standing of Other Entities</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_Toc196294409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24</w:t>
      </w:r>
      <w:r w:rsidRPr="00A22F29">
        <w:rPr>
          <w:rFonts w:ascii="Calibri" w:hAnsi="Calibri" w:cs="Calibri"/>
          <w:noProof/>
        </w:rPr>
        <w:fldChar w:fldCharType="end"/>
      </w:r>
    </w:p>
    <w:p w14:paraId="07CF8364" w14:textId="65454C6D" w:rsidR="00A22F29" w:rsidRPr="00A22F29" w:rsidRDefault="00A22F29">
      <w:pPr>
        <w:pStyle w:val="TOC2"/>
        <w:tabs>
          <w:tab w:val="left" w:pos="1260"/>
        </w:tabs>
        <w:rPr>
          <w:rFonts w:ascii="Calibri" w:eastAsiaTheme="minorEastAsia" w:hAnsi="Calibri" w:cs="Calibri"/>
          <w:noProof/>
          <w:sz w:val="22"/>
          <w:szCs w:val="22"/>
        </w:rPr>
      </w:pPr>
      <w:r w:rsidRPr="00A22F29">
        <w:rPr>
          <w:rFonts w:ascii="Calibri" w:hAnsi="Calibri" w:cs="Calibri"/>
          <w:noProof/>
        </w:rPr>
        <w:t>4.34</w:t>
      </w:r>
      <w:r w:rsidRPr="00A22F29">
        <w:rPr>
          <w:rFonts w:ascii="Calibri" w:eastAsiaTheme="minorEastAsia" w:hAnsi="Calibri" w:cs="Calibri"/>
          <w:noProof/>
          <w:sz w:val="22"/>
          <w:szCs w:val="22"/>
        </w:rPr>
        <w:tab/>
      </w:r>
      <w:r w:rsidRPr="00A22F29">
        <w:rPr>
          <w:rFonts w:ascii="Calibri" w:hAnsi="Calibri" w:cs="Calibri"/>
          <w:noProof/>
        </w:rPr>
        <w:t>Anti-Competitive Conduct</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_Toc196294410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24</w:t>
      </w:r>
      <w:r w:rsidRPr="00A22F29">
        <w:rPr>
          <w:rFonts w:ascii="Calibri" w:hAnsi="Calibri" w:cs="Calibri"/>
          <w:noProof/>
        </w:rPr>
        <w:fldChar w:fldCharType="end"/>
      </w:r>
    </w:p>
    <w:p w14:paraId="3EF057E3" w14:textId="2B220EC2" w:rsidR="00A22F29" w:rsidRPr="00A22F29" w:rsidRDefault="00A22F29">
      <w:pPr>
        <w:pStyle w:val="TOC2"/>
        <w:tabs>
          <w:tab w:val="left" w:pos="1260"/>
        </w:tabs>
        <w:rPr>
          <w:rFonts w:ascii="Calibri" w:eastAsiaTheme="minorEastAsia" w:hAnsi="Calibri" w:cs="Calibri"/>
          <w:noProof/>
          <w:sz w:val="22"/>
          <w:szCs w:val="22"/>
        </w:rPr>
      </w:pPr>
      <w:r w:rsidRPr="00A22F29">
        <w:rPr>
          <w:rFonts w:ascii="Calibri" w:hAnsi="Calibri" w:cs="Calibri"/>
          <w:noProof/>
        </w:rPr>
        <w:t>4.35</w:t>
      </w:r>
      <w:r w:rsidRPr="00A22F29">
        <w:rPr>
          <w:rFonts w:ascii="Calibri" w:eastAsiaTheme="minorEastAsia" w:hAnsi="Calibri" w:cs="Calibri"/>
          <w:noProof/>
          <w:sz w:val="22"/>
          <w:szCs w:val="22"/>
        </w:rPr>
        <w:tab/>
      </w:r>
      <w:r w:rsidRPr="00A22F29">
        <w:rPr>
          <w:rFonts w:ascii="Calibri" w:hAnsi="Calibri" w:cs="Calibri"/>
          <w:noProof/>
        </w:rPr>
        <w:t>Publicity</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_Toc196294411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24</w:t>
      </w:r>
      <w:r w:rsidRPr="00A22F29">
        <w:rPr>
          <w:rFonts w:ascii="Calibri" w:hAnsi="Calibri" w:cs="Calibri"/>
          <w:noProof/>
        </w:rPr>
        <w:fldChar w:fldCharType="end"/>
      </w:r>
    </w:p>
    <w:p w14:paraId="25688106" w14:textId="21B7656B" w:rsidR="00A22F29" w:rsidRPr="00A22F29" w:rsidRDefault="00A22F29">
      <w:pPr>
        <w:pStyle w:val="TOC2"/>
        <w:tabs>
          <w:tab w:val="left" w:pos="1260"/>
        </w:tabs>
        <w:rPr>
          <w:rFonts w:ascii="Calibri" w:eastAsiaTheme="minorEastAsia" w:hAnsi="Calibri" w:cs="Calibri"/>
          <w:noProof/>
          <w:sz w:val="22"/>
          <w:szCs w:val="22"/>
        </w:rPr>
      </w:pPr>
      <w:r w:rsidRPr="00A22F29">
        <w:rPr>
          <w:rFonts w:ascii="Calibri" w:hAnsi="Calibri" w:cs="Calibri"/>
          <w:noProof/>
        </w:rPr>
        <w:t>4.36</w:t>
      </w:r>
      <w:r w:rsidRPr="00A22F29">
        <w:rPr>
          <w:rFonts w:ascii="Calibri" w:eastAsiaTheme="minorEastAsia" w:hAnsi="Calibri" w:cs="Calibri"/>
          <w:noProof/>
          <w:sz w:val="22"/>
          <w:szCs w:val="22"/>
        </w:rPr>
        <w:tab/>
      </w:r>
      <w:r w:rsidRPr="00A22F29">
        <w:rPr>
          <w:rFonts w:ascii="Calibri" w:hAnsi="Calibri" w:cs="Calibri"/>
          <w:noProof/>
        </w:rPr>
        <w:t>Personnel</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_Toc196294412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24</w:t>
      </w:r>
      <w:r w:rsidRPr="00A22F29">
        <w:rPr>
          <w:rFonts w:ascii="Calibri" w:hAnsi="Calibri" w:cs="Calibri"/>
          <w:noProof/>
        </w:rPr>
        <w:fldChar w:fldCharType="end"/>
      </w:r>
    </w:p>
    <w:p w14:paraId="352A89B0" w14:textId="729CFA04" w:rsidR="00A22F29" w:rsidRPr="00A22F29" w:rsidRDefault="00A22F29">
      <w:pPr>
        <w:pStyle w:val="TOC2"/>
        <w:tabs>
          <w:tab w:val="left" w:pos="1260"/>
        </w:tabs>
        <w:rPr>
          <w:rFonts w:ascii="Calibri" w:eastAsiaTheme="minorEastAsia" w:hAnsi="Calibri" w:cs="Calibri"/>
          <w:noProof/>
          <w:sz w:val="22"/>
          <w:szCs w:val="22"/>
        </w:rPr>
      </w:pPr>
      <w:r w:rsidRPr="00A22F29">
        <w:rPr>
          <w:rFonts w:ascii="Calibri" w:hAnsi="Calibri" w:cs="Calibri"/>
          <w:noProof/>
        </w:rPr>
        <w:t>4.37</w:t>
      </w:r>
      <w:r w:rsidRPr="00A22F29">
        <w:rPr>
          <w:rFonts w:ascii="Calibri" w:eastAsiaTheme="minorEastAsia" w:hAnsi="Calibri" w:cs="Calibri"/>
          <w:noProof/>
          <w:sz w:val="22"/>
          <w:szCs w:val="22"/>
        </w:rPr>
        <w:tab/>
      </w:r>
      <w:r w:rsidRPr="00A22F29">
        <w:rPr>
          <w:rFonts w:ascii="Calibri" w:hAnsi="Calibri" w:cs="Calibri"/>
          <w:noProof/>
        </w:rPr>
        <w:t>Amendment of Tender Documentation</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_Toc196294413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25</w:t>
      </w:r>
      <w:r w:rsidRPr="00A22F29">
        <w:rPr>
          <w:rFonts w:ascii="Calibri" w:hAnsi="Calibri" w:cs="Calibri"/>
          <w:noProof/>
        </w:rPr>
        <w:fldChar w:fldCharType="end"/>
      </w:r>
    </w:p>
    <w:p w14:paraId="3BF0FBDB" w14:textId="5CB2D15C" w:rsidR="00A22F29" w:rsidRPr="00A22F29" w:rsidRDefault="00A22F29">
      <w:pPr>
        <w:pStyle w:val="TOC2"/>
        <w:tabs>
          <w:tab w:val="left" w:pos="1260"/>
        </w:tabs>
        <w:rPr>
          <w:rFonts w:ascii="Calibri" w:eastAsiaTheme="minorEastAsia" w:hAnsi="Calibri" w:cs="Calibri"/>
          <w:noProof/>
          <w:sz w:val="22"/>
          <w:szCs w:val="22"/>
        </w:rPr>
      </w:pPr>
      <w:r w:rsidRPr="00A22F29">
        <w:rPr>
          <w:rFonts w:ascii="Calibri" w:hAnsi="Calibri" w:cs="Calibri"/>
          <w:noProof/>
        </w:rPr>
        <w:t>4.38</w:t>
      </w:r>
      <w:r w:rsidRPr="00A22F29">
        <w:rPr>
          <w:rFonts w:ascii="Calibri" w:eastAsiaTheme="minorEastAsia" w:hAnsi="Calibri" w:cs="Calibri"/>
          <w:noProof/>
          <w:sz w:val="22"/>
          <w:szCs w:val="22"/>
        </w:rPr>
        <w:tab/>
      </w:r>
      <w:r w:rsidRPr="00A22F29">
        <w:rPr>
          <w:rFonts w:ascii="Calibri" w:hAnsi="Calibri" w:cs="Calibri"/>
          <w:noProof/>
        </w:rPr>
        <w:t>Intellectual Property Rights</w:t>
      </w:r>
      <w:r w:rsidRPr="00A22F29">
        <w:rPr>
          <w:rFonts w:ascii="Calibri" w:hAnsi="Calibri" w:cs="Calibri"/>
          <w:noProof/>
        </w:rPr>
        <w:tab/>
      </w:r>
      <w:r w:rsidRPr="00A22F29">
        <w:rPr>
          <w:rFonts w:ascii="Calibri" w:hAnsi="Calibri" w:cs="Calibri"/>
          <w:noProof/>
        </w:rPr>
        <w:fldChar w:fldCharType="begin"/>
      </w:r>
      <w:r w:rsidRPr="00A22F29">
        <w:rPr>
          <w:rFonts w:ascii="Calibri" w:hAnsi="Calibri" w:cs="Calibri"/>
          <w:noProof/>
        </w:rPr>
        <w:instrText xml:space="preserve"> PAGEREF _Toc196294414 \h </w:instrText>
      </w:r>
      <w:r w:rsidRPr="00A22F29">
        <w:rPr>
          <w:rFonts w:ascii="Calibri" w:hAnsi="Calibri" w:cs="Calibri"/>
          <w:noProof/>
        </w:rPr>
      </w:r>
      <w:r w:rsidRPr="00A22F29">
        <w:rPr>
          <w:rFonts w:ascii="Calibri" w:hAnsi="Calibri" w:cs="Calibri"/>
          <w:noProof/>
        </w:rPr>
        <w:fldChar w:fldCharType="separate"/>
      </w:r>
      <w:r w:rsidR="00D377B6">
        <w:rPr>
          <w:rFonts w:ascii="Calibri" w:hAnsi="Calibri" w:cs="Calibri"/>
          <w:noProof/>
        </w:rPr>
        <w:t>25</w:t>
      </w:r>
      <w:r w:rsidRPr="00A22F29">
        <w:rPr>
          <w:rFonts w:ascii="Calibri" w:hAnsi="Calibri" w:cs="Calibri"/>
          <w:noProof/>
        </w:rPr>
        <w:fldChar w:fldCharType="end"/>
      </w:r>
    </w:p>
    <w:p w14:paraId="4AD3F7D5" w14:textId="6A92AC97" w:rsidR="008E36A5" w:rsidRPr="00755F86" w:rsidRDefault="00FF22EB" w:rsidP="004C1430">
      <w:pPr>
        <w:pStyle w:val="BodyText"/>
        <w:rPr>
          <w:rFonts w:cs="Calibri"/>
          <w:noProof/>
          <w:sz w:val="22"/>
          <w:szCs w:val="22"/>
        </w:rPr>
      </w:pPr>
      <w:r w:rsidRPr="00A22F29">
        <w:rPr>
          <w:rFonts w:cs="Calibri"/>
          <w:noProof/>
          <w:sz w:val="23"/>
          <w:szCs w:val="23"/>
        </w:rPr>
        <w:fldChar w:fldCharType="end"/>
      </w:r>
    </w:p>
    <w:p w14:paraId="61106165" w14:textId="77777777" w:rsidR="008E36A5" w:rsidRDefault="008E36A5">
      <w:pPr>
        <w:rPr>
          <w:rFonts w:ascii="Calibri" w:eastAsiaTheme="minorHAnsi" w:hAnsi="Calibri" w:cs="Calibri"/>
          <w:noProof/>
          <w:kern w:val="18"/>
          <w:sz w:val="22"/>
          <w:szCs w:val="22"/>
          <w:lang w:val="en-GB" w:eastAsia="en-US"/>
        </w:rPr>
      </w:pPr>
      <w:r>
        <w:rPr>
          <w:rFonts w:cs="Calibri"/>
          <w:noProof/>
          <w:sz w:val="22"/>
          <w:szCs w:val="22"/>
        </w:rPr>
        <w:br w:type="page"/>
      </w:r>
    </w:p>
    <w:bookmarkEnd w:id="13"/>
    <w:p w14:paraId="57E02600" w14:textId="24435D30" w:rsidR="007935AD" w:rsidRPr="00A7548F" w:rsidRDefault="00A7548F" w:rsidP="00A7548F">
      <w:pPr>
        <w:pStyle w:val="BodyText"/>
        <w:rPr>
          <w:color w:val="00B0F0"/>
          <w:sz w:val="24"/>
          <w:szCs w:val="24"/>
        </w:rPr>
      </w:pPr>
      <w:r w:rsidRPr="00A7548F">
        <w:rPr>
          <w:color w:val="00B0F0"/>
          <w:sz w:val="24"/>
          <w:szCs w:val="24"/>
        </w:rPr>
        <w:lastRenderedPageBreak/>
        <w:t>Tenderers Checklist</w:t>
      </w:r>
    </w:p>
    <w:p w14:paraId="3BB741DE" w14:textId="77777777" w:rsidR="00A7548F" w:rsidRPr="00A7548F" w:rsidRDefault="00A7548F" w:rsidP="00A7548F">
      <w:pPr>
        <w:pStyle w:val="BodyText"/>
        <w:spacing w:line="360" w:lineRule="auto"/>
        <w:rPr>
          <w:rFonts w:cstheme="minorHAnsi"/>
          <w:noProof/>
          <w:lang w:val="en-US"/>
        </w:rPr>
      </w:pPr>
      <w:r w:rsidRPr="00A7548F">
        <w:rPr>
          <w:rFonts w:cstheme="minorHAnsi"/>
          <w:noProof/>
          <w:lang w:val="en-US"/>
        </w:rPr>
        <w:t xml:space="preserve">In submitting a tender please ensure that you complete and return the following: </w:t>
      </w:r>
    </w:p>
    <w:tbl>
      <w:tblPr>
        <w:tblStyle w:val="TableGrid"/>
        <w:tblW w:w="0" w:type="auto"/>
        <w:tblLook w:val="04A0" w:firstRow="1" w:lastRow="0" w:firstColumn="1" w:lastColumn="0" w:noHBand="0" w:noVBand="1"/>
      </w:tblPr>
      <w:tblGrid>
        <w:gridCol w:w="571"/>
        <w:gridCol w:w="6796"/>
        <w:gridCol w:w="1649"/>
      </w:tblGrid>
      <w:tr w:rsidR="00A7548F" w:rsidRPr="00A7548F" w14:paraId="3B78E7A2" w14:textId="77777777" w:rsidTr="00A7548F">
        <w:trPr>
          <w:cnfStyle w:val="100000000000" w:firstRow="1" w:lastRow="0" w:firstColumn="0" w:lastColumn="0" w:oddVBand="0" w:evenVBand="0" w:oddHBand="0" w:evenHBand="0" w:firstRowFirstColumn="0" w:firstRowLastColumn="0" w:lastRowFirstColumn="0" w:lastRowLastColumn="0"/>
        </w:trPr>
        <w:tc>
          <w:tcPr>
            <w:tcW w:w="571" w:type="dxa"/>
          </w:tcPr>
          <w:p w14:paraId="0066B426" w14:textId="12E19186" w:rsidR="00A7548F" w:rsidRPr="00A7548F" w:rsidRDefault="00A7548F" w:rsidP="00A7548F">
            <w:pPr>
              <w:pStyle w:val="BodyText"/>
              <w:spacing w:line="360" w:lineRule="auto"/>
              <w:jc w:val="center"/>
              <w:rPr>
                <w:rFonts w:cstheme="minorHAnsi"/>
                <w:b/>
                <w:noProof/>
                <w:lang w:val="en-US"/>
              </w:rPr>
            </w:pPr>
            <w:r w:rsidRPr="00A7548F">
              <w:rPr>
                <w:rFonts w:cstheme="minorHAnsi"/>
                <w:b/>
                <w:noProof/>
                <w:lang w:val="en-US"/>
              </w:rPr>
              <w:t>No.</w:t>
            </w:r>
          </w:p>
        </w:tc>
        <w:tc>
          <w:tcPr>
            <w:tcW w:w="6796" w:type="dxa"/>
          </w:tcPr>
          <w:p w14:paraId="7F19C8C1" w14:textId="77777777" w:rsidR="00A7548F" w:rsidRPr="00A7548F" w:rsidRDefault="00A7548F" w:rsidP="00A7548F">
            <w:pPr>
              <w:pStyle w:val="BodyText"/>
              <w:spacing w:line="360" w:lineRule="auto"/>
              <w:rPr>
                <w:rFonts w:cstheme="minorHAnsi"/>
                <w:b/>
                <w:noProof/>
                <w:lang w:val="en-US"/>
              </w:rPr>
            </w:pPr>
            <w:r w:rsidRPr="00A7548F">
              <w:rPr>
                <w:rFonts w:cstheme="minorHAnsi"/>
                <w:b/>
                <w:noProof/>
                <w:lang w:val="en-US"/>
              </w:rPr>
              <w:t>Description</w:t>
            </w:r>
          </w:p>
        </w:tc>
        <w:tc>
          <w:tcPr>
            <w:tcW w:w="1649" w:type="dxa"/>
          </w:tcPr>
          <w:p w14:paraId="1B3781BD" w14:textId="77777777" w:rsidR="00A7548F" w:rsidRPr="00A7548F" w:rsidRDefault="00A7548F" w:rsidP="00A7548F">
            <w:pPr>
              <w:pStyle w:val="BodyText"/>
              <w:spacing w:line="360" w:lineRule="auto"/>
              <w:rPr>
                <w:rFonts w:cstheme="minorHAnsi"/>
                <w:b/>
                <w:noProof/>
                <w:lang w:val="en-US"/>
              </w:rPr>
            </w:pPr>
            <w:r w:rsidRPr="00A7548F">
              <w:rPr>
                <w:rFonts w:cstheme="minorHAnsi"/>
                <w:b/>
                <w:noProof/>
                <w:lang w:val="en-US"/>
              </w:rPr>
              <w:t>Check</w:t>
            </w:r>
          </w:p>
        </w:tc>
      </w:tr>
      <w:tr w:rsidR="00A7548F" w:rsidRPr="00A7548F" w14:paraId="1CFB4D6A" w14:textId="77777777" w:rsidTr="00A7548F">
        <w:tc>
          <w:tcPr>
            <w:tcW w:w="571" w:type="dxa"/>
          </w:tcPr>
          <w:p w14:paraId="285AFFA1" w14:textId="77777777" w:rsidR="00A7548F" w:rsidRPr="00A7548F" w:rsidRDefault="00A7548F" w:rsidP="00A7548F">
            <w:pPr>
              <w:pStyle w:val="BodyText"/>
              <w:spacing w:line="360" w:lineRule="auto"/>
              <w:jc w:val="center"/>
              <w:rPr>
                <w:rFonts w:cstheme="minorHAnsi"/>
                <w:noProof/>
                <w:lang w:val="en-US"/>
              </w:rPr>
            </w:pPr>
            <w:r w:rsidRPr="00A7548F">
              <w:rPr>
                <w:rFonts w:cstheme="minorHAnsi"/>
                <w:noProof/>
                <w:lang w:val="en-US"/>
              </w:rPr>
              <w:t>1</w:t>
            </w:r>
          </w:p>
        </w:tc>
        <w:tc>
          <w:tcPr>
            <w:tcW w:w="6796" w:type="dxa"/>
          </w:tcPr>
          <w:p w14:paraId="460D8BCB" w14:textId="47EA0BF6" w:rsidR="00A7548F" w:rsidRPr="00A7548F" w:rsidRDefault="00A7548F" w:rsidP="00A7548F">
            <w:pPr>
              <w:pStyle w:val="BodyText"/>
              <w:spacing w:line="360" w:lineRule="auto"/>
              <w:rPr>
                <w:rFonts w:cstheme="minorHAnsi"/>
                <w:noProof/>
                <w:lang w:val="en-US"/>
              </w:rPr>
            </w:pPr>
            <w:r w:rsidRPr="00A7548F">
              <w:rPr>
                <w:rFonts w:cstheme="minorHAnsi"/>
                <w:noProof/>
                <w:lang w:val="en-US"/>
              </w:rPr>
              <w:t>Complete tender submission indicating which lot you are applying for</w:t>
            </w:r>
          </w:p>
        </w:tc>
        <w:tc>
          <w:tcPr>
            <w:tcW w:w="1649" w:type="dxa"/>
          </w:tcPr>
          <w:p w14:paraId="10B8CF74" w14:textId="77777777" w:rsidR="00A7548F" w:rsidRPr="00A7548F" w:rsidRDefault="00A7548F" w:rsidP="00A7548F">
            <w:pPr>
              <w:pStyle w:val="BodyText"/>
              <w:spacing w:line="360" w:lineRule="auto"/>
              <w:rPr>
                <w:rFonts w:cstheme="minorHAnsi"/>
                <w:noProof/>
                <w:lang w:val="en-US"/>
              </w:rPr>
            </w:pPr>
          </w:p>
        </w:tc>
      </w:tr>
      <w:tr w:rsidR="00A7548F" w:rsidRPr="00A7548F" w14:paraId="3EAAE140" w14:textId="77777777" w:rsidTr="00A7548F">
        <w:tc>
          <w:tcPr>
            <w:tcW w:w="571" w:type="dxa"/>
          </w:tcPr>
          <w:p w14:paraId="6FD59ECA" w14:textId="77777777" w:rsidR="00A7548F" w:rsidRPr="00A7548F" w:rsidRDefault="00A7548F" w:rsidP="00A7548F">
            <w:pPr>
              <w:pStyle w:val="BodyText"/>
              <w:spacing w:line="360" w:lineRule="auto"/>
              <w:jc w:val="center"/>
              <w:rPr>
                <w:rFonts w:cstheme="minorHAnsi"/>
                <w:noProof/>
                <w:lang w:val="en-US"/>
              </w:rPr>
            </w:pPr>
            <w:r w:rsidRPr="00A7548F">
              <w:rPr>
                <w:rFonts w:cstheme="minorHAnsi"/>
                <w:noProof/>
                <w:lang w:val="en-US"/>
              </w:rPr>
              <w:t>2</w:t>
            </w:r>
          </w:p>
        </w:tc>
        <w:tc>
          <w:tcPr>
            <w:tcW w:w="6796" w:type="dxa"/>
          </w:tcPr>
          <w:p w14:paraId="7139AFEE" w14:textId="3445E6B4" w:rsidR="00A7548F" w:rsidRPr="00A7548F" w:rsidRDefault="00A7548F" w:rsidP="00A7548F">
            <w:pPr>
              <w:pStyle w:val="BodyText"/>
              <w:spacing w:line="360" w:lineRule="auto"/>
              <w:rPr>
                <w:rFonts w:cstheme="minorHAnsi"/>
                <w:noProof/>
                <w:lang w:val="en-US"/>
              </w:rPr>
            </w:pPr>
            <w:r w:rsidRPr="00A7548F">
              <w:rPr>
                <w:rFonts w:cstheme="minorHAnsi"/>
                <w:noProof/>
                <w:lang w:val="en-US"/>
              </w:rPr>
              <w:t xml:space="preserve">Complete quality submission folder including Criteria </w:t>
            </w:r>
            <w:r w:rsidRPr="00B544A1">
              <w:rPr>
                <w:rFonts w:cstheme="minorHAnsi"/>
                <w:noProof/>
                <w:lang w:val="en-US"/>
              </w:rPr>
              <w:t>A-</w:t>
            </w:r>
            <w:r w:rsidR="00B544A1" w:rsidRPr="00B544A1">
              <w:rPr>
                <w:rFonts w:cstheme="minorHAnsi"/>
                <w:noProof/>
                <w:lang w:val="en-US"/>
              </w:rPr>
              <w:t>E</w:t>
            </w:r>
            <w:r w:rsidRPr="00B544A1">
              <w:rPr>
                <w:rFonts w:cstheme="minorHAnsi"/>
                <w:noProof/>
                <w:lang w:val="en-US"/>
              </w:rPr>
              <w:t>.</w:t>
            </w:r>
            <w:r w:rsidRPr="00A7548F">
              <w:rPr>
                <w:rFonts w:cstheme="minorHAnsi"/>
                <w:noProof/>
                <w:lang w:val="en-US"/>
              </w:rPr>
              <w:t xml:space="preserve"> Please ensure no pricing element is contained in the quality submission folder</w:t>
            </w:r>
          </w:p>
        </w:tc>
        <w:tc>
          <w:tcPr>
            <w:tcW w:w="1649" w:type="dxa"/>
          </w:tcPr>
          <w:p w14:paraId="4D1F23BD" w14:textId="77777777" w:rsidR="00A7548F" w:rsidRPr="00A7548F" w:rsidRDefault="00A7548F" w:rsidP="00A7548F">
            <w:pPr>
              <w:pStyle w:val="BodyText"/>
              <w:spacing w:line="360" w:lineRule="auto"/>
              <w:rPr>
                <w:rFonts w:cstheme="minorHAnsi"/>
                <w:noProof/>
                <w:lang w:val="en-US"/>
              </w:rPr>
            </w:pPr>
          </w:p>
        </w:tc>
      </w:tr>
      <w:tr w:rsidR="00A7548F" w:rsidRPr="00A7548F" w14:paraId="74874D20" w14:textId="77777777" w:rsidTr="00A7548F">
        <w:tc>
          <w:tcPr>
            <w:tcW w:w="571" w:type="dxa"/>
          </w:tcPr>
          <w:p w14:paraId="3C903B0D" w14:textId="77777777" w:rsidR="00A7548F" w:rsidRPr="00A7548F" w:rsidRDefault="00A7548F" w:rsidP="00A7548F">
            <w:pPr>
              <w:pStyle w:val="BodyText"/>
              <w:spacing w:line="360" w:lineRule="auto"/>
              <w:jc w:val="center"/>
              <w:rPr>
                <w:rFonts w:cstheme="minorHAnsi"/>
                <w:noProof/>
                <w:lang w:val="en-US"/>
              </w:rPr>
            </w:pPr>
            <w:r w:rsidRPr="00A7548F">
              <w:rPr>
                <w:rFonts w:cstheme="minorHAnsi"/>
                <w:noProof/>
                <w:lang w:val="en-US"/>
              </w:rPr>
              <w:t>3</w:t>
            </w:r>
          </w:p>
        </w:tc>
        <w:tc>
          <w:tcPr>
            <w:tcW w:w="6796" w:type="dxa"/>
          </w:tcPr>
          <w:p w14:paraId="043643A8" w14:textId="77777777" w:rsidR="00A7548F" w:rsidRPr="00A7548F" w:rsidRDefault="00A7548F" w:rsidP="00A7548F">
            <w:pPr>
              <w:pStyle w:val="BodyText"/>
              <w:spacing w:line="360" w:lineRule="auto"/>
              <w:rPr>
                <w:rFonts w:cstheme="minorHAnsi"/>
                <w:noProof/>
                <w:lang w:val="en-US"/>
              </w:rPr>
            </w:pPr>
            <w:r w:rsidRPr="00A7548F">
              <w:rPr>
                <w:rFonts w:cstheme="minorHAnsi"/>
                <w:noProof/>
                <w:lang w:val="en-US"/>
              </w:rPr>
              <w:t>Completed price submission folder including Pricing Document and Tender and Schedule</w:t>
            </w:r>
          </w:p>
        </w:tc>
        <w:tc>
          <w:tcPr>
            <w:tcW w:w="1649" w:type="dxa"/>
          </w:tcPr>
          <w:p w14:paraId="30CE4705" w14:textId="77777777" w:rsidR="00A7548F" w:rsidRPr="00A7548F" w:rsidRDefault="00A7548F" w:rsidP="00A7548F">
            <w:pPr>
              <w:pStyle w:val="BodyText"/>
              <w:spacing w:line="360" w:lineRule="auto"/>
              <w:rPr>
                <w:rFonts w:cstheme="minorHAnsi"/>
                <w:noProof/>
                <w:lang w:val="en-US"/>
              </w:rPr>
            </w:pPr>
          </w:p>
        </w:tc>
      </w:tr>
    </w:tbl>
    <w:p w14:paraId="475AAF43" w14:textId="77777777" w:rsidR="00A7548F" w:rsidRPr="00C50386" w:rsidRDefault="00A7548F" w:rsidP="00A21CEB">
      <w:pPr>
        <w:pStyle w:val="BodyText"/>
        <w:spacing w:line="360" w:lineRule="auto"/>
        <w:rPr>
          <w:rFonts w:cstheme="minorHAnsi"/>
          <w:noProof/>
        </w:rPr>
      </w:pPr>
    </w:p>
    <w:p w14:paraId="1E3739D9" w14:textId="77777777" w:rsidR="007935AD" w:rsidRDefault="007935AD" w:rsidP="000A14DC">
      <w:pPr>
        <w:rPr>
          <w:b/>
          <w:bCs/>
          <w:noProof/>
        </w:rPr>
      </w:pPr>
    </w:p>
    <w:p w14:paraId="4D1EC13D" w14:textId="77777777" w:rsidR="00152B3C" w:rsidRDefault="00152B3C" w:rsidP="000A14DC">
      <w:pPr>
        <w:rPr>
          <w:b/>
          <w:bCs/>
          <w:noProof/>
        </w:rPr>
        <w:sectPr w:rsidR="00152B3C" w:rsidSect="004E43B0">
          <w:headerReference w:type="default" r:id="rId15"/>
          <w:footerReference w:type="default" r:id="rId16"/>
          <w:pgSz w:w="11906" w:h="16838" w:code="9"/>
          <w:pgMar w:top="1134" w:right="1440" w:bottom="851" w:left="1440" w:header="709" w:footer="284" w:gutter="0"/>
          <w:cols w:space="708"/>
          <w:docGrid w:linePitch="360"/>
        </w:sectPr>
      </w:pPr>
    </w:p>
    <w:p w14:paraId="70B42C08" w14:textId="78BF476C" w:rsidR="00937C7B" w:rsidRPr="00C46A18" w:rsidRDefault="00937C7B" w:rsidP="00DD1F32">
      <w:pPr>
        <w:pStyle w:val="BodyText"/>
        <w:ind w:left="851"/>
        <w:rPr>
          <w:color w:val="00B0F0"/>
          <w:sz w:val="24"/>
          <w:szCs w:val="24"/>
        </w:rPr>
      </w:pPr>
      <w:bookmarkStart w:id="14" w:name="_Toc452649761"/>
      <w:bookmarkStart w:id="15" w:name="_Toc453361456"/>
      <w:bookmarkStart w:id="16" w:name="_Toc453361468"/>
      <w:bookmarkStart w:id="17" w:name="_Toc453367032"/>
      <w:bookmarkStart w:id="18" w:name="_Toc453367066"/>
      <w:bookmarkStart w:id="19" w:name="_Toc453367120"/>
      <w:bookmarkStart w:id="20" w:name="_Toc453367134"/>
      <w:bookmarkStart w:id="21" w:name="_Toc453367147"/>
      <w:bookmarkStart w:id="22" w:name="_Toc453367158"/>
      <w:bookmarkStart w:id="23" w:name="_Toc454313834"/>
      <w:bookmarkStart w:id="24" w:name="Text_Introduction"/>
      <w:bookmarkStart w:id="25" w:name="BodyContent"/>
      <w:r w:rsidRPr="00C46A18">
        <w:rPr>
          <w:color w:val="00B0F0"/>
          <w:sz w:val="24"/>
          <w:szCs w:val="24"/>
        </w:rPr>
        <w:lastRenderedPageBreak/>
        <w:t>Disclaimers</w:t>
      </w:r>
    </w:p>
    <w:p w14:paraId="4B0A3182" w14:textId="11923A7F" w:rsidR="00937C7B" w:rsidRPr="00DD1F32" w:rsidRDefault="00937C7B" w:rsidP="00DD1F32">
      <w:pPr>
        <w:pStyle w:val="BodyText"/>
        <w:ind w:left="851"/>
      </w:pPr>
      <w:r>
        <w:t>All information contained in this Project Information Memorandum (PIM) document is provided in the strictest confidence and has been made available solely for facilitating the production and submission of tenders. No party may disclose the contents of this document without the express permission of University of Galway</w:t>
      </w:r>
      <w:r w:rsidR="08BA2DBE">
        <w:t>/University of Limerick</w:t>
      </w:r>
      <w:r w:rsidR="00217104">
        <w:t>/University College Dublin</w:t>
      </w:r>
      <w:r w:rsidR="08BA2DBE">
        <w:t xml:space="preserve"> </w:t>
      </w:r>
      <w:r>
        <w:t>(hereinafter ‘the Contracting Authority’).</w:t>
      </w:r>
    </w:p>
    <w:p w14:paraId="611A12C7" w14:textId="3CD2EF01" w:rsidR="00937C7B" w:rsidRPr="00DD1F32" w:rsidRDefault="00937C7B" w:rsidP="00DD1F32">
      <w:pPr>
        <w:pStyle w:val="BodyText"/>
        <w:ind w:left="851"/>
      </w:pPr>
      <w:r w:rsidRPr="00DD1F32">
        <w:t xml:space="preserve">This PIM sets out details and requirements of the project as they are currently known or may reasonably be assessed. </w:t>
      </w:r>
      <w:r w:rsidR="00A7548F" w:rsidRPr="00DD1F32">
        <w:t>However,</w:t>
      </w:r>
      <w:r w:rsidRPr="00DD1F32">
        <w:t xml:space="preserve"> the details provided here are for information purposes only and are subject to change throughout the project lifecycle.</w:t>
      </w:r>
    </w:p>
    <w:p w14:paraId="404F523B" w14:textId="0E1C39B7" w:rsidR="00937C7B" w:rsidRPr="00DD1F32" w:rsidRDefault="00937C7B" w:rsidP="00DD1F32">
      <w:pPr>
        <w:pStyle w:val="BodyText"/>
        <w:ind w:left="851"/>
      </w:pPr>
      <w:r w:rsidRPr="00DD1F32">
        <w:t>Candidates are recommended to read the PIM document, ITT and associated appendices thoroughly. While all reasonable steps have been taken to ensure that the information set out in this document is factually correct, no representation or warranty, express or implied, is or will be made or given in relation to the accuracy or the completeness of any information contained in these documents or otherwise provided by or on behalf of the Contracting Authority, in writing or otherwise, to any interested party or its advisers. No responsibility or liability for any loss or damage arising as a result of reliance on these documents, or for the information contained in these documents, or for any omission, is or will be accepted by the Contracting Authority or by any of its officers, employees, agents or professional advisers. No officer, employee, agent, or professional adviser of the Contracting Authority has any authority to give or make any representation or warranty, express or implied, in relation to such information. The Contracting Authority’s officers, employees, agents and professional advisers expressly disclaim any and all liability arising out of such documentation or information and any errors or omissions in or from the documents and information.</w:t>
      </w:r>
    </w:p>
    <w:p w14:paraId="2EDD92C5" w14:textId="3E127787" w:rsidR="00E4700B" w:rsidRPr="00DD1F32" w:rsidRDefault="00937C7B" w:rsidP="00DD1F32">
      <w:pPr>
        <w:pStyle w:val="BodyText"/>
        <w:ind w:left="851"/>
      </w:pPr>
      <w:r w:rsidRPr="00DD1F32">
        <w:t>The Contracting Authority reserves the right to discontinue the procurement process at any time. Without prejudice to the principle of equal treatment, the Contracting Authority is not obliged to engage in a clarification process in respect of prequalification submissions with missing or incomplete information. Therefore, candidates are advised to ensure that they return comprehensive submissions in order to avoid the risk of elimination from the competition</w:t>
      </w:r>
    </w:p>
    <w:p w14:paraId="53B72A2C" w14:textId="77777777" w:rsidR="00E4700B" w:rsidRDefault="00E4700B" w:rsidP="00E4700B"/>
    <w:p w14:paraId="34D9B493" w14:textId="77777777" w:rsidR="00E4700B" w:rsidRDefault="00E4700B" w:rsidP="00E4700B">
      <w:pPr>
        <w:sectPr w:rsidR="00E4700B" w:rsidSect="00E4202B">
          <w:pgSz w:w="11906" w:h="16838" w:code="9"/>
          <w:pgMar w:top="1320" w:right="1320" w:bottom="1246" w:left="740" w:header="720" w:footer="720" w:gutter="0"/>
          <w:cols w:space="720"/>
          <w:docGrid w:linePitch="326"/>
        </w:sectPr>
      </w:pPr>
    </w:p>
    <w:p w14:paraId="2FE828F0" w14:textId="4D3915B8" w:rsidR="003B18BF" w:rsidRPr="00805BBC" w:rsidRDefault="00885B1B" w:rsidP="00B3087B">
      <w:pPr>
        <w:pStyle w:val="Heading1"/>
        <w:ind w:hanging="720"/>
      </w:pPr>
      <w:bookmarkStart w:id="26" w:name="_Toc196294349"/>
      <w:r w:rsidRPr="00805BBC">
        <w:lastRenderedPageBreak/>
        <w:t>Introduction</w:t>
      </w:r>
      <w:bookmarkEnd w:id="14"/>
      <w:bookmarkEnd w:id="15"/>
      <w:bookmarkEnd w:id="16"/>
      <w:bookmarkEnd w:id="17"/>
      <w:bookmarkEnd w:id="18"/>
      <w:bookmarkEnd w:id="19"/>
      <w:bookmarkEnd w:id="20"/>
      <w:bookmarkEnd w:id="21"/>
      <w:bookmarkEnd w:id="22"/>
      <w:bookmarkEnd w:id="23"/>
      <w:bookmarkEnd w:id="24"/>
      <w:bookmarkEnd w:id="26"/>
    </w:p>
    <w:p w14:paraId="65270EB0" w14:textId="40AF10EA" w:rsidR="009C4765" w:rsidRPr="00E06DB6" w:rsidRDefault="009C4765" w:rsidP="3756B6F4">
      <w:pPr>
        <w:pStyle w:val="Heading2"/>
        <w:ind w:left="709" w:hanging="709"/>
      </w:pPr>
      <w:bookmarkStart w:id="27" w:name="_Toc196294350"/>
      <w:r>
        <w:t>About the Contracting Authority</w:t>
      </w:r>
      <w:bookmarkEnd w:id="27"/>
    </w:p>
    <w:p w14:paraId="090A6149" w14:textId="22D9DFBF" w:rsidR="6DCEA7FA" w:rsidRDefault="6DCEA7FA" w:rsidP="3756B6F4">
      <w:pPr>
        <w:pStyle w:val="BodyText"/>
        <w:rPr>
          <w:b/>
          <w:bCs/>
        </w:rPr>
      </w:pPr>
      <w:r w:rsidRPr="3756B6F4">
        <w:rPr>
          <w:b/>
          <w:bCs/>
        </w:rPr>
        <w:t>University of Galway</w:t>
      </w:r>
    </w:p>
    <w:p w14:paraId="701CBC41" w14:textId="6AFD664F" w:rsidR="00755F86" w:rsidRDefault="00755F86" w:rsidP="00755F86">
      <w:pPr>
        <w:pStyle w:val="BodyText"/>
      </w:pPr>
      <w:r>
        <w:t xml:space="preserve">The University of Galway (Contracting Authority) is one of Ireland’s foremost centres of academic excellence. With over 18,500 students, it has a long-established reputation of teaching and research excellence in the Colleges of Arts, Social Sciences, and Celtic Studies; Business, Public Policy and Law; </w:t>
      </w:r>
      <w:r w:rsidR="00553AF5">
        <w:t>College of Science and Engineering</w:t>
      </w:r>
      <w:r>
        <w:t xml:space="preserve">; Medicine, Nursing &amp; Health Sciences. With a complement of over 2,000 (full-time equivalent) staff, the Contracting Authority is one of the largest employers in Galway and makes a significant contribution to the economic, social, and cultural fabric of the city. The University has, in recent times, formed strategic alliances with other educational institutions to enhance the provision of, and access to, university education on a regional, national and international basis. </w:t>
      </w:r>
    </w:p>
    <w:p w14:paraId="196F004D" w14:textId="42AE6106" w:rsidR="00755F86" w:rsidRDefault="00755F86" w:rsidP="00755F86">
      <w:pPr>
        <w:pStyle w:val="BodyText"/>
      </w:pPr>
      <w:r>
        <w:t>The Contracting Authority locations include academic departments,</w:t>
      </w:r>
      <w:r w:rsidR="00827861">
        <w:t xml:space="preserve"> </w:t>
      </w:r>
      <w:r>
        <w:t>schools, administrative and service units and University research institutes, centres and units both on and off campus</w:t>
      </w:r>
      <w:r w:rsidR="001A4366">
        <w:t xml:space="preserve"> including student residences.</w:t>
      </w:r>
      <w:r>
        <w:t xml:space="preserve"> The main city campus extends along the River Corrib for a distance of 2.8Km. It is over 128 hectares in area (main campus and satellite locations) and has 118 individual buildings from 1845 to date. The combined floor area of the University’s buildings is over 225,000m². Approximately 30% of the University’s buildings are protected. </w:t>
      </w:r>
    </w:p>
    <w:p w14:paraId="526B5905" w14:textId="77777777" w:rsidR="00755F86" w:rsidRDefault="00755F86" w:rsidP="00755F86">
      <w:pPr>
        <w:pStyle w:val="BodyText"/>
      </w:pPr>
      <w:r>
        <w:t>University departments located in Galway city such as Nun’s Island, Newcastle Road, University Hospital Galway and Dangan are considered part of the main campus. Off-campus facilities include the following:</w:t>
      </w:r>
    </w:p>
    <w:p w14:paraId="7B4306DB" w14:textId="77777777" w:rsidR="00755F86" w:rsidRDefault="00755F86" w:rsidP="1E2A4048">
      <w:pPr>
        <w:pStyle w:val="BodyText"/>
        <w:spacing w:line="240" w:lineRule="auto"/>
      </w:pPr>
      <w:r>
        <w:t>•</w:t>
      </w:r>
      <w:r>
        <w:tab/>
        <w:t xml:space="preserve">MRI, Carna, Co. Galway </w:t>
      </w:r>
    </w:p>
    <w:p w14:paraId="556AEAEE" w14:textId="77777777" w:rsidR="00755F86" w:rsidRDefault="00755F86" w:rsidP="1E2A4048">
      <w:pPr>
        <w:pStyle w:val="BodyText"/>
        <w:spacing w:line="240" w:lineRule="auto"/>
      </w:pPr>
      <w:r>
        <w:t>•</w:t>
      </w:r>
      <w:r>
        <w:tab/>
        <w:t>Atmospheric Research Station, Mace Head, Carna, Co Galway</w:t>
      </w:r>
    </w:p>
    <w:p w14:paraId="01C3918B" w14:textId="77777777" w:rsidR="00755F86" w:rsidRDefault="00755F86" w:rsidP="1E2A4048">
      <w:pPr>
        <w:pStyle w:val="BodyText"/>
        <w:spacing w:line="240" w:lineRule="auto"/>
      </w:pPr>
      <w:r>
        <w:t>•</w:t>
      </w:r>
      <w:r>
        <w:tab/>
        <w:t>Acadamh na hOllscolaíochta, Carna, Co. Galway</w:t>
      </w:r>
    </w:p>
    <w:p w14:paraId="46B3363F" w14:textId="77777777" w:rsidR="00755F86" w:rsidRDefault="00755F86" w:rsidP="1E2A4048">
      <w:pPr>
        <w:pStyle w:val="BodyText"/>
        <w:spacing w:line="240" w:lineRule="auto"/>
      </w:pPr>
      <w:r>
        <w:t>•</w:t>
      </w:r>
      <w:r>
        <w:tab/>
        <w:t>Acadamh na hOllscolaíochta, Carraroe, Co. Galway</w:t>
      </w:r>
    </w:p>
    <w:p w14:paraId="6434E3EE" w14:textId="77777777" w:rsidR="00755F86" w:rsidRDefault="00755F86" w:rsidP="1E2A4048">
      <w:pPr>
        <w:pStyle w:val="BodyText"/>
        <w:spacing w:line="240" w:lineRule="auto"/>
      </w:pPr>
      <w:r>
        <w:t>•</w:t>
      </w:r>
      <w:r>
        <w:tab/>
        <w:t>Acadamh na hOllscolaíochta, Doirí Beaga, Co. Donegal</w:t>
      </w:r>
    </w:p>
    <w:p w14:paraId="5C191885" w14:textId="77777777" w:rsidR="00755F86" w:rsidRDefault="00755F86" w:rsidP="1E2A4048">
      <w:pPr>
        <w:pStyle w:val="BodyText"/>
        <w:spacing w:line="240" w:lineRule="auto"/>
      </w:pPr>
      <w:r>
        <w:t>•</w:t>
      </w:r>
      <w:r>
        <w:tab/>
        <w:t>ECI, Carron, Co. Clare</w:t>
      </w:r>
    </w:p>
    <w:p w14:paraId="49CE9835" w14:textId="77777777" w:rsidR="00755F86" w:rsidRDefault="00755F86" w:rsidP="1E2A4048">
      <w:pPr>
        <w:pStyle w:val="BodyText"/>
        <w:spacing w:line="240" w:lineRule="auto"/>
      </w:pPr>
      <w:r>
        <w:t>•</w:t>
      </w:r>
      <w:r>
        <w:tab/>
        <w:t>MRI, Finnavara, Co. Clare</w:t>
      </w:r>
    </w:p>
    <w:p w14:paraId="15B206B1" w14:textId="77777777" w:rsidR="00755F86" w:rsidRDefault="00755F86" w:rsidP="1E2A4048">
      <w:pPr>
        <w:pStyle w:val="BodyText"/>
        <w:spacing w:line="240" w:lineRule="auto"/>
      </w:pPr>
      <w:r>
        <w:t>•</w:t>
      </w:r>
      <w:r>
        <w:tab/>
        <w:t>Shannon College of Hotel Management, Shannon Airport, Co. Clare</w:t>
      </w:r>
    </w:p>
    <w:p w14:paraId="69B77B2E" w14:textId="77777777" w:rsidR="00755F86" w:rsidRDefault="00755F86" w:rsidP="1E2A4048">
      <w:pPr>
        <w:pStyle w:val="BodyText"/>
        <w:spacing w:line="240" w:lineRule="auto"/>
      </w:pPr>
      <w:r>
        <w:t>•</w:t>
      </w:r>
      <w:r>
        <w:tab/>
        <w:t>Irish Centre for High End Computing (ICHEC), Trinity Technology Campus, Dublin 2</w:t>
      </w:r>
    </w:p>
    <w:p w14:paraId="3EFD8D78" w14:textId="77777777" w:rsidR="00755F86" w:rsidRDefault="00755F86" w:rsidP="1E2A4048">
      <w:pPr>
        <w:pStyle w:val="BodyText"/>
        <w:spacing w:line="240" w:lineRule="auto"/>
      </w:pPr>
      <w:r>
        <w:t>•</w:t>
      </w:r>
      <w:r>
        <w:tab/>
        <w:t xml:space="preserve">Medical Academies in Sligo, Letterkenny, Castlebar &amp; Portiuncula </w:t>
      </w:r>
    </w:p>
    <w:p w14:paraId="2032D7DB" w14:textId="2D7039A9" w:rsidR="00921788" w:rsidRDefault="00755F86" w:rsidP="00755F86">
      <w:pPr>
        <w:pStyle w:val="BodyText"/>
        <w:rPr>
          <w:rStyle w:val="Hyperlink"/>
        </w:rPr>
      </w:pPr>
      <w:r>
        <w:t xml:space="preserve">Log on to </w:t>
      </w:r>
      <w:hyperlink r:id="rId17">
        <w:r w:rsidRPr="1E2A4048">
          <w:rPr>
            <w:rStyle w:val="Hyperlink"/>
          </w:rPr>
          <w:t>www.universityofgalway.ie</w:t>
        </w:r>
      </w:hyperlink>
    </w:p>
    <w:p w14:paraId="4AF50164" w14:textId="77777777" w:rsidR="00461175" w:rsidRDefault="00461175">
      <w:pPr>
        <w:rPr>
          <w:rFonts w:ascii="Calibri" w:eastAsiaTheme="minorHAnsi" w:hAnsi="Calibri" w:cstheme="minorBidi"/>
          <w:b/>
          <w:bCs/>
          <w:kern w:val="18"/>
          <w:sz w:val="21"/>
          <w:szCs w:val="21"/>
          <w:lang w:val="en-GB" w:eastAsia="en-US"/>
        </w:rPr>
      </w:pPr>
      <w:r>
        <w:rPr>
          <w:b/>
          <w:bCs/>
        </w:rPr>
        <w:br w:type="page"/>
      </w:r>
    </w:p>
    <w:p w14:paraId="4C758A76" w14:textId="69E68123" w:rsidR="3220D560" w:rsidRDefault="3220D560" w:rsidP="3756B6F4">
      <w:pPr>
        <w:pStyle w:val="BodyText"/>
        <w:rPr>
          <w:b/>
          <w:bCs/>
        </w:rPr>
      </w:pPr>
      <w:r w:rsidRPr="3756B6F4">
        <w:rPr>
          <w:b/>
          <w:bCs/>
        </w:rPr>
        <w:lastRenderedPageBreak/>
        <w:t>University of Limerick</w:t>
      </w:r>
    </w:p>
    <w:p w14:paraId="2B2371FB" w14:textId="77777777" w:rsidR="0009057D" w:rsidRPr="0009057D" w:rsidRDefault="0009057D" w:rsidP="0009057D">
      <w:pPr>
        <w:pStyle w:val="BodyText"/>
        <w:rPr>
          <w:lang w:val="en-US"/>
        </w:rPr>
      </w:pPr>
      <w:r w:rsidRPr="0009057D">
        <w:rPr>
          <w:lang w:val="en-US"/>
        </w:rPr>
        <w:t xml:space="preserve">The University of Limerick (UL) (Contracting Authority) with over 19,666 students and 2,128 staff is an independent research-led university offering undergraduate and postgraduate programmes across the following faculties/schools/departments: </w:t>
      </w:r>
    </w:p>
    <w:p w14:paraId="09D86681" w14:textId="77777777" w:rsidR="0009057D" w:rsidRPr="0009057D" w:rsidRDefault="0009057D" w:rsidP="0009057D">
      <w:pPr>
        <w:pStyle w:val="BodyText"/>
        <w:numPr>
          <w:ilvl w:val="0"/>
          <w:numId w:val="36"/>
        </w:numPr>
        <w:rPr>
          <w:lang w:val="en-US"/>
        </w:rPr>
      </w:pPr>
      <w:r w:rsidRPr="0009057D">
        <w:rPr>
          <w:lang w:val="en-US"/>
        </w:rPr>
        <w:t>Faculty of Arts, Humanities and Social Science; including History, Law, Sociology, Politics &amp; Public Administration, Irish World Academy of Music and Dance, School of Modern Languages &amp; Applied Linguistics, School of English, Irish and Communications.</w:t>
      </w:r>
    </w:p>
    <w:p w14:paraId="4DE11ECE" w14:textId="77777777" w:rsidR="0009057D" w:rsidRPr="0009057D" w:rsidRDefault="0009057D" w:rsidP="0009057D">
      <w:pPr>
        <w:pStyle w:val="BodyText"/>
        <w:numPr>
          <w:ilvl w:val="0"/>
          <w:numId w:val="36"/>
        </w:numPr>
        <w:rPr>
          <w:lang w:val="en-US"/>
        </w:rPr>
      </w:pPr>
      <w:r w:rsidRPr="0009057D">
        <w:rPr>
          <w:lang w:val="en-US"/>
        </w:rPr>
        <w:t xml:space="preserve"> Faculty of Education and Health Sciences including Psychology, Nursing and Midwifery, School of Medicine, School of Allied Health, School of Education, Physical Education and Sports Sciences.</w:t>
      </w:r>
    </w:p>
    <w:p w14:paraId="5067AAAA" w14:textId="55FAC13A" w:rsidR="0009057D" w:rsidRPr="0009057D" w:rsidRDefault="0009057D" w:rsidP="0009057D">
      <w:pPr>
        <w:pStyle w:val="BodyText"/>
        <w:numPr>
          <w:ilvl w:val="0"/>
          <w:numId w:val="36"/>
        </w:numPr>
        <w:rPr>
          <w:lang w:val="en-US"/>
        </w:rPr>
      </w:pPr>
      <w:r w:rsidRPr="0009057D">
        <w:rPr>
          <w:lang w:val="en-US"/>
        </w:rPr>
        <w:t xml:space="preserve"> Faculty of Science and Engineering</w:t>
      </w:r>
      <w:r w:rsidR="004A26CE">
        <w:rPr>
          <w:lang w:val="en-US"/>
        </w:rPr>
        <w:t xml:space="preserve"> includes the S</w:t>
      </w:r>
      <w:r w:rsidRPr="0009057D">
        <w:rPr>
          <w:lang w:val="en-US"/>
        </w:rPr>
        <w:t>chool of Natural Sciences, School of Architecture and Product Design, School of Engineering, Mathematics &amp; Statistics, Electronic &amp; Computer Engineering, Computer Science and Information Systems.</w:t>
      </w:r>
    </w:p>
    <w:p w14:paraId="340B0FD4" w14:textId="122CD22C" w:rsidR="0009057D" w:rsidRPr="004A26CE" w:rsidRDefault="0009057D" w:rsidP="0009057D">
      <w:pPr>
        <w:pStyle w:val="BodyText"/>
        <w:numPr>
          <w:ilvl w:val="0"/>
          <w:numId w:val="36"/>
        </w:numPr>
        <w:rPr>
          <w:lang w:val="en-US"/>
        </w:rPr>
      </w:pPr>
      <w:r w:rsidRPr="0009057D">
        <w:rPr>
          <w:lang w:val="en-US"/>
        </w:rPr>
        <w:t xml:space="preserve">Kemmy Business </w:t>
      </w:r>
      <w:r w:rsidRPr="004A26CE">
        <w:rPr>
          <w:lang w:val="en-US"/>
        </w:rPr>
        <w:t>School includ</w:t>
      </w:r>
      <w:r w:rsidR="004A26CE" w:rsidRPr="004A26CE">
        <w:rPr>
          <w:lang w:val="en-US"/>
        </w:rPr>
        <w:t>es A</w:t>
      </w:r>
      <w:r w:rsidRPr="004A26CE">
        <w:rPr>
          <w:lang w:val="en-US"/>
        </w:rPr>
        <w:t>ccounting &amp; Finance, Economics, Management &amp; Marketing, Work and Employment Studies.</w:t>
      </w:r>
    </w:p>
    <w:p w14:paraId="276B0A37" w14:textId="08D10D9D" w:rsidR="0009057D" w:rsidRPr="0009057D" w:rsidRDefault="0009057D" w:rsidP="0009057D">
      <w:pPr>
        <w:pStyle w:val="BodyText"/>
        <w:rPr>
          <w:lang w:val="en-US"/>
        </w:rPr>
      </w:pPr>
      <w:r w:rsidRPr="0009057D">
        <w:rPr>
          <w:lang w:val="en-US"/>
        </w:rPr>
        <w:t>With strong links to business and industry, UL excels at translational research, which aims to accelerate the practical application of academic research to benefit society. At UL, sustainability is at the core of everything we do and we are fully cognisant of the need for our</w:t>
      </w:r>
      <w:r w:rsidR="004A26CE">
        <w:rPr>
          <w:strike/>
          <w:lang w:val="en-US"/>
        </w:rPr>
        <w:t xml:space="preserve"> </w:t>
      </w:r>
      <w:r w:rsidR="004A26CE" w:rsidRPr="004A26CE">
        <w:rPr>
          <w:lang w:val="en-US"/>
        </w:rPr>
        <w:t>university</w:t>
      </w:r>
      <w:r w:rsidRPr="004A26CE">
        <w:rPr>
          <w:lang w:val="en-US"/>
        </w:rPr>
        <w:t xml:space="preserve"> to</w:t>
      </w:r>
      <w:r w:rsidRPr="0009057D">
        <w:rPr>
          <w:lang w:val="en-US"/>
        </w:rPr>
        <w:t xml:space="preserve"> lead in this area locally, nationally and internationally. Known as ‘Ireland’s Sporting Campus’, UL boasts Ireland’s first altitude training centre, an Olympic-sized swimming pool and the National Strength and Conditioning Centre as well as a host of new all-weather state-of-the-art 3G pitches. As one of Ireland’s foremost universities, UL is recognised for its dedication to an outstanding student experience, commitment to graduate employability and its research with societal impact making fruitful an extensive network of partnerships with industry government and communities, nationally and internationally. </w:t>
      </w:r>
    </w:p>
    <w:p w14:paraId="50739D6C" w14:textId="77777777" w:rsidR="0009057D" w:rsidRPr="0009057D" w:rsidRDefault="0009057D" w:rsidP="0009057D">
      <w:pPr>
        <w:pStyle w:val="BodyText"/>
        <w:rPr>
          <w:lang w:val="en-IE"/>
        </w:rPr>
      </w:pPr>
      <w:r w:rsidRPr="0009057D">
        <w:rPr>
          <w:lang w:val="en-IE"/>
        </w:rPr>
        <w:t xml:space="preserve">The Contracting Authority is situated on a superb riverside campus of over 150 hectares with the River Shannon as a unifying focal point. Outstanding recreational, cultural and sporting facilities further enhance this exceptional learning and research environment. The Contracting Authority locations include academic departments, schools, administrative and service units and University research institutes, centres and units both on and off campus. The Contracting Authority has in excess of </w:t>
      </w:r>
      <w:r w:rsidRPr="0009057D">
        <w:rPr>
          <w:b/>
          <w:bCs/>
          <w:lang w:val="en-IE"/>
        </w:rPr>
        <w:t xml:space="preserve">50 </w:t>
      </w:r>
      <w:r w:rsidRPr="0009057D">
        <w:rPr>
          <w:lang w:val="en-IE"/>
        </w:rPr>
        <w:t xml:space="preserve">individual buildings dating from 1735 to date. The combined floor area of the University’s building is over 264,143 m². Approximately 0.6% are protected. </w:t>
      </w:r>
    </w:p>
    <w:p w14:paraId="7E6B0FF9" w14:textId="77777777" w:rsidR="0009057D" w:rsidRPr="0009057D" w:rsidRDefault="0009057D" w:rsidP="0009057D">
      <w:pPr>
        <w:pStyle w:val="BodyText"/>
        <w:rPr>
          <w:lang w:val="en-US"/>
        </w:rPr>
      </w:pPr>
      <w:r w:rsidRPr="0009057D">
        <w:rPr>
          <w:lang w:val="en-US"/>
        </w:rPr>
        <w:t xml:space="preserve">University facilities located off the main campus include the following: </w:t>
      </w:r>
    </w:p>
    <w:p w14:paraId="6C50B831" w14:textId="77777777" w:rsidR="0009057D" w:rsidRPr="0009057D" w:rsidRDefault="0009057D" w:rsidP="0009057D">
      <w:pPr>
        <w:pStyle w:val="BodyText"/>
        <w:numPr>
          <w:ilvl w:val="0"/>
          <w:numId w:val="37"/>
        </w:numPr>
        <w:rPr>
          <w:lang w:val="en-US"/>
        </w:rPr>
      </w:pPr>
      <w:r w:rsidRPr="0009057D">
        <w:rPr>
          <w:lang w:val="en-US"/>
        </w:rPr>
        <w:t>Troy Village, Groody Road, Castletroy Limerick</w:t>
      </w:r>
    </w:p>
    <w:p w14:paraId="6FB73000" w14:textId="77777777" w:rsidR="0009057D" w:rsidRPr="0009057D" w:rsidRDefault="0009057D" w:rsidP="0009057D">
      <w:pPr>
        <w:pStyle w:val="BodyText"/>
        <w:numPr>
          <w:ilvl w:val="0"/>
          <w:numId w:val="35"/>
        </w:numPr>
        <w:rPr>
          <w:lang w:val="en-US"/>
        </w:rPr>
      </w:pPr>
      <w:r w:rsidRPr="0009057D">
        <w:rPr>
          <w:lang w:val="en-US"/>
        </w:rPr>
        <w:t xml:space="preserve">Groody Student Village, Groody Road, Limerick  </w:t>
      </w:r>
    </w:p>
    <w:p w14:paraId="61B9681C" w14:textId="77777777" w:rsidR="0009057D" w:rsidRPr="0009057D" w:rsidRDefault="0009057D" w:rsidP="0009057D">
      <w:pPr>
        <w:pStyle w:val="BodyText"/>
        <w:numPr>
          <w:ilvl w:val="0"/>
          <w:numId w:val="35"/>
        </w:numPr>
        <w:rPr>
          <w:lang w:val="en-US"/>
        </w:rPr>
      </w:pPr>
      <w:r w:rsidRPr="0009057D">
        <w:rPr>
          <w:lang w:val="en-US"/>
        </w:rPr>
        <w:t xml:space="preserve">Park Point Campus, Dublin Road, Limerick </w:t>
      </w:r>
    </w:p>
    <w:p w14:paraId="20DBDA9B" w14:textId="77777777" w:rsidR="0009057D" w:rsidRPr="0009057D" w:rsidRDefault="0009057D" w:rsidP="0009057D">
      <w:pPr>
        <w:pStyle w:val="BodyText"/>
        <w:numPr>
          <w:ilvl w:val="0"/>
          <w:numId w:val="35"/>
        </w:numPr>
        <w:rPr>
          <w:lang w:val="en-US"/>
        </w:rPr>
      </w:pPr>
      <w:r w:rsidRPr="0009057D">
        <w:rPr>
          <w:lang w:val="en-US"/>
        </w:rPr>
        <w:t xml:space="preserve">City Centre Campus (under development), Sarsfield Street, Limerick </w:t>
      </w:r>
    </w:p>
    <w:p w14:paraId="2D5E3D62" w14:textId="77777777" w:rsidR="0009057D" w:rsidRPr="0009057D" w:rsidRDefault="0009057D" w:rsidP="0009057D">
      <w:pPr>
        <w:pStyle w:val="BodyText"/>
        <w:numPr>
          <w:ilvl w:val="0"/>
          <w:numId w:val="35"/>
        </w:numPr>
        <w:rPr>
          <w:lang w:val="en-US"/>
        </w:rPr>
      </w:pPr>
      <w:r w:rsidRPr="0009057D">
        <w:rPr>
          <w:lang w:val="en-US"/>
        </w:rPr>
        <w:t>CERC Building, University Hospital Limerick Campus</w:t>
      </w:r>
    </w:p>
    <w:p w14:paraId="1365A09C" w14:textId="77777777" w:rsidR="0009057D" w:rsidRPr="0009057D" w:rsidRDefault="0009057D" w:rsidP="0009057D">
      <w:pPr>
        <w:pStyle w:val="BodyText"/>
        <w:numPr>
          <w:ilvl w:val="0"/>
          <w:numId w:val="35"/>
        </w:numPr>
        <w:rPr>
          <w:lang w:val="en-US"/>
        </w:rPr>
      </w:pPr>
      <w:r w:rsidRPr="0009057D">
        <w:rPr>
          <w:lang w:val="en-US"/>
        </w:rPr>
        <w:t xml:space="preserve">University Sport Activity Centre, Killaloe, Co. Clare </w:t>
      </w:r>
    </w:p>
    <w:p w14:paraId="6812BAFB" w14:textId="77777777" w:rsidR="0009057D" w:rsidRDefault="0009057D" w:rsidP="0009057D">
      <w:pPr>
        <w:pStyle w:val="BodyText"/>
        <w:numPr>
          <w:ilvl w:val="0"/>
          <w:numId w:val="35"/>
        </w:numPr>
        <w:rPr>
          <w:lang w:val="en-US"/>
        </w:rPr>
      </w:pPr>
      <w:r w:rsidRPr="0009057D">
        <w:rPr>
          <w:lang w:val="en-US"/>
        </w:rPr>
        <w:t xml:space="preserve">Rhebogue Student Accommodation, Limerick    </w:t>
      </w:r>
    </w:p>
    <w:p w14:paraId="3CCF4981" w14:textId="293EC4DA" w:rsidR="0009057D" w:rsidRPr="0009057D" w:rsidRDefault="0009057D" w:rsidP="0009057D">
      <w:pPr>
        <w:pStyle w:val="BodyText"/>
        <w:rPr>
          <w:lang w:val="en-US"/>
        </w:rPr>
      </w:pPr>
      <w:r w:rsidRPr="0009057D">
        <w:rPr>
          <w:lang w:val="en-US"/>
        </w:rPr>
        <w:t xml:space="preserve">Please log onto </w:t>
      </w:r>
      <w:hyperlink r:id="rId18" w:history="1">
        <w:r w:rsidRPr="0009057D">
          <w:rPr>
            <w:rStyle w:val="Hyperlink"/>
            <w:b/>
            <w:bCs/>
            <w:lang w:val="en-US"/>
          </w:rPr>
          <w:t>https://www.ul.ie/</w:t>
        </w:r>
      </w:hyperlink>
    </w:p>
    <w:p w14:paraId="736F4796" w14:textId="6C3B78E2" w:rsidR="00917394" w:rsidRDefault="00917394">
      <w:pPr>
        <w:rPr>
          <w:rFonts w:ascii="Calibri" w:eastAsiaTheme="minorHAnsi" w:hAnsi="Calibri" w:cstheme="minorBidi"/>
          <w:kern w:val="18"/>
          <w:sz w:val="21"/>
          <w:szCs w:val="21"/>
          <w:lang w:val="en-GB" w:eastAsia="en-US"/>
        </w:rPr>
      </w:pPr>
    </w:p>
    <w:p w14:paraId="1049308C" w14:textId="7D0B7203" w:rsidR="00917394" w:rsidRDefault="00917394" w:rsidP="00917394">
      <w:pPr>
        <w:pStyle w:val="BodyText"/>
        <w:rPr>
          <w:b/>
          <w:bCs/>
        </w:rPr>
      </w:pPr>
      <w:r w:rsidRPr="3756B6F4">
        <w:rPr>
          <w:b/>
          <w:bCs/>
        </w:rPr>
        <w:t xml:space="preserve">University </w:t>
      </w:r>
      <w:r>
        <w:rPr>
          <w:b/>
          <w:bCs/>
        </w:rPr>
        <w:t>College Dublin</w:t>
      </w:r>
    </w:p>
    <w:p w14:paraId="1B40013E" w14:textId="77777777" w:rsidR="00DA11DB" w:rsidRPr="00DA11DB" w:rsidRDefault="00DA11DB" w:rsidP="0009057D">
      <w:pPr>
        <w:spacing w:after="280"/>
        <w:rPr>
          <w:rFonts w:ascii="Calibri" w:eastAsiaTheme="minorHAnsi" w:hAnsi="Calibri" w:cstheme="minorBidi"/>
          <w:kern w:val="18"/>
          <w:sz w:val="21"/>
          <w:szCs w:val="21"/>
          <w:lang w:val="en-GB" w:eastAsia="en-US"/>
        </w:rPr>
      </w:pPr>
      <w:r w:rsidRPr="0009057D">
        <w:rPr>
          <w:rFonts w:ascii="Calibri" w:eastAsiaTheme="minorHAnsi" w:hAnsi="Calibri" w:cstheme="minorBidi"/>
          <w:kern w:val="18"/>
          <w:sz w:val="21"/>
          <w:szCs w:val="21"/>
          <w:lang w:val="en-US" w:eastAsia="en-US"/>
        </w:rPr>
        <w:t>Founded in 1854, University College Dublin (UCD) is a dynamic, modern University and is the largest University in Ireland with seven Colleges and thirty-eight Schools offering a comprehensive range of</w:t>
      </w:r>
      <w:r w:rsidRPr="00DA11DB">
        <w:rPr>
          <w:rFonts w:ascii="Calibri" w:eastAsiaTheme="minorHAnsi" w:hAnsi="Calibri" w:cstheme="minorBidi"/>
          <w:kern w:val="18"/>
          <w:sz w:val="21"/>
          <w:szCs w:val="21"/>
          <w:lang w:val="en-GB" w:eastAsia="en-US"/>
        </w:rPr>
        <w:t xml:space="preserve"> undergraduate and postgraduate programmes and is ranked within the top 1% of higher education institutions worldwide. Including overseas operations its student population is over 33,000 of whom over 9,500 are graduate students. UCD is committed to maintaining a high level of research activity and to further developing its collaborative links with industry and commerce, and with educational and research institutions internationally.  UCD is also a major employer with over 4,000 permanent personnel (full-time and part-time). For further information on UCD please visit www.ucd.ie.   </w:t>
      </w:r>
    </w:p>
    <w:p w14:paraId="017C6100" w14:textId="77777777" w:rsidR="00DA11DB" w:rsidRPr="00DA11DB" w:rsidRDefault="00DA11DB" w:rsidP="00DA11DB">
      <w:pPr>
        <w:rPr>
          <w:rFonts w:ascii="Calibri" w:eastAsiaTheme="minorHAnsi" w:hAnsi="Calibri" w:cstheme="minorBidi"/>
          <w:b/>
          <w:bCs/>
          <w:kern w:val="18"/>
          <w:sz w:val="21"/>
          <w:szCs w:val="21"/>
          <w:lang w:val="en-GB" w:eastAsia="en-US"/>
        </w:rPr>
      </w:pPr>
      <w:r w:rsidRPr="00DA11DB">
        <w:rPr>
          <w:rFonts w:ascii="Calibri" w:eastAsiaTheme="minorHAnsi" w:hAnsi="Calibri" w:cstheme="minorBidi"/>
          <w:b/>
          <w:bCs/>
          <w:kern w:val="18"/>
          <w:sz w:val="21"/>
          <w:szCs w:val="21"/>
          <w:lang w:val="en-GB" w:eastAsia="en-US"/>
        </w:rPr>
        <w:t>UCD, Belfield</w:t>
      </w:r>
    </w:p>
    <w:p w14:paraId="1BA1ED55" w14:textId="77777777" w:rsidR="00DA11DB" w:rsidRPr="00DA11DB" w:rsidRDefault="00DA11DB" w:rsidP="00DA11DB">
      <w:pPr>
        <w:rPr>
          <w:rFonts w:ascii="Calibri" w:eastAsiaTheme="minorHAnsi" w:hAnsi="Calibri" w:cstheme="minorBidi"/>
          <w:kern w:val="18"/>
          <w:sz w:val="21"/>
          <w:szCs w:val="21"/>
          <w:lang w:val="en-GB" w:eastAsia="en-US"/>
        </w:rPr>
      </w:pPr>
      <w:r w:rsidRPr="00DA11DB">
        <w:rPr>
          <w:rFonts w:ascii="Calibri" w:eastAsiaTheme="minorHAnsi" w:hAnsi="Calibri" w:cstheme="minorBidi"/>
          <w:kern w:val="18"/>
          <w:sz w:val="21"/>
          <w:szCs w:val="21"/>
          <w:lang w:val="en-GB" w:eastAsia="en-US"/>
        </w:rPr>
        <w:t xml:space="preserve">The main campus of UCD is situated at Belfield about 5 km to the south of the centre of Dublin. This 142-hectare site, positioned between low-lying hills and Dublin Bay, is attractively landscaped and accommodates most of the colleges of UCD and additionally its administration, student residences and numerous sporting and leisure facilities.  </w:t>
      </w:r>
    </w:p>
    <w:p w14:paraId="2E1A8F6D" w14:textId="00E6BE77" w:rsidR="00DA11DB" w:rsidRPr="00DA11DB" w:rsidRDefault="00DA11DB" w:rsidP="00DA11DB">
      <w:pPr>
        <w:rPr>
          <w:rFonts w:ascii="Calibri" w:eastAsiaTheme="minorHAnsi" w:hAnsi="Calibri" w:cstheme="minorBidi"/>
          <w:kern w:val="18"/>
          <w:sz w:val="21"/>
          <w:szCs w:val="21"/>
          <w:lang w:val="en-GB" w:eastAsia="en-US"/>
        </w:rPr>
      </w:pPr>
      <w:r w:rsidRPr="00DA11DB">
        <w:rPr>
          <w:rFonts w:ascii="Calibri" w:eastAsiaTheme="minorHAnsi" w:hAnsi="Calibri" w:cstheme="minorBidi"/>
          <w:kern w:val="18"/>
          <w:sz w:val="21"/>
          <w:szCs w:val="21"/>
          <w:lang w:val="en-GB" w:eastAsia="en-US"/>
        </w:rPr>
        <w:t xml:space="preserve">See </w:t>
      </w:r>
      <w:hyperlink r:id="rId19" w:history="1">
        <w:r w:rsidR="004C393D" w:rsidRPr="005457FA">
          <w:rPr>
            <w:rStyle w:val="Hyperlink"/>
            <w:rFonts w:ascii="Calibri" w:eastAsiaTheme="minorHAnsi" w:hAnsi="Calibri" w:cstheme="minorBidi"/>
            <w:kern w:val="18"/>
            <w:sz w:val="21"/>
            <w:szCs w:val="21"/>
            <w:lang w:val="en-GB" w:eastAsia="en-US"/>
          </w:rPr>
          <w:t>www.ucd.ie</w:t>
        </w:r>
      </w:hyperlink>
      <w:r w:rsidR="00890890">
        <w:rPr>
          <w:rFonts w:ascii="Calibri" w:eastAsiaTheme="minorHAnsi" w:hAnsi="Calibri" w:cstheme="minorBidi"/>
          <w:kern w:val="18"/>
          <w:sz w:val="21"/>
          <w:szCs w:val="21"/>
          <w:lang w:val="en-GB" w:eastAsia="en-US"/>
        </w:rPr>
        <w:t xml:space="preserve"> </w:t>
      </w:r>
    </w:p>
    <w:p w14:paraId="4BFD1AC2" w14:textId="77777777" w:rsidR="00DA11DB" w:rsidRPr="00DA11DB" w:rsidRDefault="00DA11DB" w:rsidP="00DA11DB">
      <w:pPr>
        <w:rPr>
          <w:rFonts w:ascii="Calibri" w:eastAsiaTheme="minorHAnsi" w:hAnsi="Calibri" w:cstheme="minorBidi"/>
          <w:kern w:val="18"/>
          <w:sz w:val="21"/>
          <w:szCs w:val="21"/>
          <w:lang w:val="en-GB" w:eastAsia="en-US"/>
        </w:rPr>
      </w:pPr>
    </w:p>
    <w:p w14:paraId="47F8519D" w14:textId="77777777" w:rsidR="00DA11DB" w:rsidRPr="00DA11DB" w:rsidRDefault="00DA11DB" w:rsidP="00DA11DB">
      <w:pPr>
        <w:rPr>
          <w:rFonts w:ascii="Calibri" w:eastAsiaTheme="minorHAnsi" w:hAnsi="Calibri" w:cstheme="minorBidi"/>
          <w:b/>
          <w:bCs/>
          <w:kern w:val="18"/>
          <w:sz w:val="21"/>
          <w:szCs w:val="21"/>
          <w:lang w:val="en-GB" w:eastAsia="en-US"/>
        </w:rPr>
      </w:pPr>
      <w:r w:rsidRPr="00DA11DB">
        <w:rPr>
          <w:rFonts w:ascii="Calibri" w:eastAsiaTheme="minorHAnsi" w:hAnsi="Calibri" w:cstheme="minorBidi"/>
          <w:b/>
          <w:bCs/>
          <w:kern w:val="18"/>
          <w:sz w:val="21"/>
          <w:szCs w:val="21"/>
          <w:lang w:val="en-GB" w:eastAsia="en-US"/>
        </w:rPr>
        <w:t>UCD Beech Hill / Founders District</w:t>
      </w:r>
    </w:p>
    <w:p w14:paraId="1C5FE0FC" w14:textId="77777777" w:rsidR="00DA11DB" w:rsidRPr="00DA11DB" w:rsidRDefault="00DA11DB" w:rsidP="00DA11DB">
      <w:pPr>
        <w:shd w:val="clear" w:color="auto" w:fill="FFFFFF"/>
        <w:rPr>
          <w:rFonts w:ascii="Calibri" w:eastAsiaTheme="minorHAnsi" w:hAnsi="Calibri" w:cstheme="minorBidi"/>
          <w:kern w:val="18"/>
          <w:sz w:val="21"/>
          <w:szCs w:val="21"/>
          <w:lang w:val="en-GB" w:eastAsia="en-US"/>
        </w:rPr>
      </w:pPr>
      <w:r w:rsidRPr="00DA11DB">
        <w:rPr>
          <w:rFonts w:ascii="Calibri" w:eastAsiaTheme="minorHAnsi" w:hAnsi="Calibri" w:cstheme="minorBidi"/>
          <w:kern w:val="18"/>
          <w:sz w:val="21"/>
          <w:szCs w:val="21"/>
          <w:lang w:val="en-GB" w:eastAsia="en-US"/>
        </w:rPr>
        <w:t xml:space="preserve">The UCD School of Physics has relocated to the L.M.I. Building in Beech Hill from September 2023 while the Science Phase III upgrade is in progress on the main campus. This building is just beyond the edge of campus on Beech Hill Road. </w:t>
      </w:r>
    </w:p>
    <w:p w14:paraId="2546DB12" w14:textId="18AC8CC2" w:rsidR="00DA11DB" w:rsidRPr="00DA11DB" w:rsidRDefault="00DA11DB" w:rsidP="00DA11DB">
      <w:pPr>
        <w:shd w:val="clear" w:color="auto" w:fill="FFFFFF"/>
        <w:rPr>
          <w:rFonts w:ascii="Calibri" w:eastAsiaTheme="minorHAnsi" w:hAnsi="Calibri" w:cstheme="minorBidi"/>
          <w:kern w:val="18"/>
          <w:sz w:val="21"/>
          <w:szCs w:val="21"/>
          <w:lang w:val="en-GB" w:eastAsia="en-US"/>
        </w:rPr>
      </w:pPr>
      <w:r w:rsidRPr="00DA11DB">
        <w:rPr>
          <w:rFonts w:ascii="Calibri" w:eastAsiaTheme="minorHAnsi" w:hAnsi="Calibri" w:cstheme="minorBidi"/>
          <w:kern w:val="18"/>
          <w:sz w:val="21"/>
          <w:szCs w:val="21"/>
          <w:lang w:val="en-GB" w:eastAsia="en-US"/>
        </w:rPr>
        <w:t xml:space="preserve">See: </w:t>
      </w:r>
      <w:hyperlink r:id="rId20" w:history="1">
        <w:r w:rsidR="004C393D" w:rsidRPr="005457FA">
          <w:rPr>
            <w:rStyle w:val="Hyperlink"/>
            <w:rFonts w:ascii="Calibri" w:eastAsiaTheme="minorHAnsi" w:hAnsi="Calibri" w:cstheme="minorBidi"/>
            <w:kern w:val="18"/>
            <w:sz w:val="21"/>
            <w:szCs w:val="21"/>
            <w:lang w:val="en-GB" w:eastAsia="en-US"/>
          </w:rPr>
          <w:t>www.physicslabs.ucd.ie/info/beech_hill/</w:t>
        </w:r>
      </w:hyperlink>
    </w:p>
    <w:p w14:paraId="2A4F0BDF" w14:textId="77777777" w:rsidR="00DA11DB" w:rsidRPr="00DA11DB" w:rsidRDefault="00DA11DB" w:rsidP="00DA11DB">
      <w:pPr>
        <w:rPr>
          <w:rFonts w:ascii="Calibri" w:eastAsiaTheme="minorHAnsi" w:hAnsi="Calibri" w:cstheme="minorBidi"/>
          <w:kern w:val="18"/>
          <w:sz w:val="21"/>
          <w:szCs w:val="21"/>
          <w:lang w:val="en-GB" w:eastAsia="en-US"/>
        </w:rPr>
      </w:pPr>
    </w:p>
    <w:p w14:paraId="358724AE" w14:textId="77777777" w:rsidR="00DA11DB" w:rsidRPr="00DA11DB" w:rsidRDefault="00DA11DB" w:rsidP="00DA11DB">
      <w:pPr>
        <w:rPr>
          <w:rFonts w:ascii="Calibri" w:eastAsiaTheme="minorHAnsi" w:hAnsi="Calibri" w:cstheme="minorBidi"/>
          <w:b/>
          <w:bCs/>
          <w:kern w:val="18"/>
          <w:sz w:val="21"/>
          <w:szCs w:val="21"/>
          <w:lang w:val="en-GB" w:eastAsia="en-US"/>
        </w:rPr>
      </w:pPr>
      <w:r w:rsidRPr="00DA11DB">
        <w:rPr>
          <w:rFonts w:ascii="Calibri" w:eastAsiaTheme="minorHAnsi" w:hAnsi="Calibri" w:cstheme="minorBidi"/>
          <w:b/>
          <w:bCs/>
          <w:kern w:val="18"/>
          <w:sz w:val="21"/>
          <w:szCs w:val="21"/>
          <w:lang w:val="en-GB" w:eastAsia="en-US"/>
        </w:rPr>
        <w:t>UCD Michael Smurfit Graduate Business School, Blackrock</w:t>
      </w:r>
    </w:p>
    <w:p w14:paraId="1C9709AB" w14:textId="3E9A6765" w:rsidR="00DA11DB" w:rsidRPr="00DA11DB" w:rsidRDefault="00DA11DB" w:rsidP="00DA11DB">
      <w:pPr>
        <w:rPr>
          <w:rFonts w:ascii="Calibri" w:eastAsiaTheme="minorHAnsi" w:hAnsi="Calibri" w:cstheme="minorBidi"/>
          <w:kern w:val="18"/>
          <w:sz w:val="21"/>
          <w:szCs w:val="21"/>
          <w:lang w:val="en-GB" w:eastAsia="en-US"/>
        </w:rPr>
      </w:pPr>
      <w:r w:rsidRPr="00DA11DB">
        <w:rPr>
          <w:rFonts w:ascii="Calibri" w:eastAsiaTheme="minorHAnsi" w:hAnsi="Calibri" w:cstheme="minorBidi"/>
          <w:kern w:val="18"/>
          <w:sz w:val="21"/>
          <w:szCs w:val="21"/>
          <w:lang w:val="en-GB" w:eastAsia="en-US"/>
        </w:rPr>
        <w:t xml:space="preserve">A second campus, the UCD Michael Smurfit Graduate Business School is located approx. 2 km away from Belfield, in Blackrock Co. Dublin. Primarily focusing on post – graduate and executive business education, this 6.5 hectare campus also contains residences for a small number of students. See </w:t>
      </w:r>
      <w:hyperlink r:id="rId21" w:history="1">
        <w:r w:rsidR="004C393D" w:rsidRPr="005457FA">
          <w:rPr>
            <w:rStyle w:val="Hyperlink"/>
            <w:rFonts w:ascii="Calibri" w:eastAsiaTheme="minorHAnsi" w:hAnsi="Calibri" w:cstheme="minorBidi"/>
            <w:kern w:val="18"/>
            <w:sz w:val="21"/>
            <w:szCs w:val="21"/>
            <w:lang w:val="en-GB" w:eastAsia="en-US"/>
          </w:rPr>
          <w:t>www.smurfitschool.ie/</w:t>
        </w:r>
      </w:hyperlink>
    </w:p>
    <w:p w14:paraId="695AB285" w14:textId="77777777" w:rsidR="00DA11DB" w:rsidRPr="00DA11DB" w:rsidRDefault="00DA11DB" w:rsidP="00DA11DB">
      <w:pPr>
        <w:rPr>
          <w:rFonts w:ascii="Calibri" w:eastAsiaTheme="minorHAnsi" w:hAnsi="Calibri" w:cstheme="minorBidi"/>
          <w:kern w:val="18"/>
          <w:sz w:val="21"/>
          <w:szCs w:val="21"/>
          <w:lang w:val="en-GB" w:eastAsia="en-US"/>
        </w:rPr>
      </w:pPr>
    </w:p>
    <w:p w14:paraId="577F8A82" w14:textId="77777777" w:rsidR="00DA11DB" w:rsidRPr="00DA11DB" w:rsidRDefault="00DA11DB" w:rsidP="00DA11DB">
      <w:pPr>
        <w:rPr>
          <w:rFonts w:ascii="Calibri" w:eastAsiaTheme="minorHAnsi" w:hAnsi="Calibri" w:cstheme="minorBidi"/>
          <w:b/>
          <w:bCs/>
          <w:kern w:val="18"/>
          <w:sz w:val="21"/>
          <w:szCs w:val="21"/>
          <w:lang w:val="en-GB" w:eastAsia="en-US"/>
        </w:rPr>
      </w:pPr>
      <w:r w:rsidRPr="00DA11DB">
        <w:rPr>
          <w:rFonts w:ascii="Calibri" w:eastAsiaTheme="minorHAnsi" w:hAnsi="Calibri" w:cstheme="minorBidi"/>
          <w:b/>
          <w:bCs/>
          <w:kern w:val="18"/>
          <w:sz w:val="21"/>
          <w:szCs w:val="21"/>
          <w:lang w:val="en-GB" w:eastAsia="en-US"/>
        </w:rPr>
        <w:t>UCD Lyons Farm</w:t>
      </w:r>
    </w:p>
    <w:p w14:paraId="52F1702C" w14:textId="77777777" w:rsidR="00DA11DB" w:rsidRPr="00DA11DB" w:rsidRDefault="00DA11DB" w:rsidP="00DA11DB">
      <w:pPr>
        <w:rPr>
          <w:rFonts w:ascii="Calibri" w:eastAsiaTheme="minorHAnsi" w:hAnsi="Calibri" w:cstheme="minorBidi"/>
          <w:kern w:val="18"/>
          <w:sz w:val="21"/>
          <w:szCs w:val="21"/>
          <w:lang w:val="en-GB" w:eastAsia="en-US"/>
        </w:rPr>
      </w:pPr>
      <w:r w:rsidRPr="00DA11DB">
        <w:rPr>
          <w:rFonts w:ascii="Calibri" w:eastAsiaTheme="minorHAnsi" w:hAnsi="Calibri" w:cstheme="minorBidi"/>
          <w:kern w:val="18"/>
          <w:sz w:val="21"/>
          <w:szCs w:val="21"/>
          <w:lang w:val="en-GB" w:eastAsia="en-US"/>
        </w:rPr>
        <w:t>Lyons Research and Teaching Farm (Lyons Farm) is a key enabler of UCD’s teaching and research ambitions. It forms an integral part of the teaching and research infrastructure of the College of Health and Agricultural Sciences, and specifically of the School of Agriculture and Food Science and the School of Veterinary Medicine. The farm provides students and academics with access to large animal and crop enterprises for the delivery of teaching and research programmes.</w:t>
      </w:r>
    </w:p>
    <w:p w14:paraId="136924C0" w14:textId="2EF8D733" w:rsidR="00DA11DB" w:rsidRPr="00DA11DB" w:rsidRDefault="00DA11DB" w:rsidP="00DA11DB">
      <w:pPr>
        <w:rPr>
          <w:rFonts w:ascii="Calibri" w:eastAsiaTheme="minorHAnsi" w:hAnsi="Calibri" w:cstheme="minorBidi"/>
          <w:kern w:val="18"/>
          <w:sz w:val="21"/>
          <w:szCs w:val="21"/>
          <w:lang w:val="en-GB" w:eastAsia="en-US"/>
        </w:rPr>
      </w:pPr>
      <w:r w:rsidRPr="00DA11DB">
        <w:rPr>
          <w:rFonts w:ascii="Calibri" w:eastAsiaTheme="minorHAnsi" w:hAnsi="Calibri" w:cstheme="minorBidi"/>
          <w:kern w:val="18"/>
          <w:sz w:val="21"/>
          <w:szCs w:val="21"/>
          <w:lang w:val="en-GB" w:eastAsia="en-US"/>
        </w:rPr>
        <w:t xml:space="preserve">See </w:t>
      </w:r>
      <w:hyperlink r:id="rId22" w:history="1">
        <w:r w:rsidR="004C393D" w:rsidRPr="005457FA">
          <w:rPr>
            <w:rStyle w:val="Hyperlink"/>
            <w:rFonts w:ascii="Calibri" w:eastAsiaTheme="minorHAnsi" w:hAnsi="Calibri" w:cstheme="minorBidi"/>
            <w:kern w:val="18"/>
            <w:sz w:val="21"/>
            <w:szCs w:val="21"/>
            <w:lang w:val="en-GB" w:eastAsia="en-US"/>
          </w:rPr>
          <w:t>www.ucd.ie/lyonsfarm/</w:t>
        </w:r>
      </w:hyperlink>
      <w:r w:rsidRPr="00DA11DB">
        <w:rPr>
          <w:rFonts w:ascii="Calibri" w:eastAsiaTheme="minorHAnsi" w:hAnsi="Calibri" w:cstheme="minorBidi"/>
          <w:kern w:val="18"/>
          <w:sz w:val="21"/>
          <w:szCs w:val="21"/>
          <w:lang w:val="en-GB" w:eastAsia="en-US"/>
        </w:rPr>
        <w:t>.</w:t>
      </w:r>
    </w:p>
    <w:p w14:paraId="43B38848" w14:textId="77777777" w:rsidR="00DA11DB" w:rsidRPr="00DA11DB" w:rsidRDefault="00DA11DB" w:rsidP="00DA11DB">
      <w:pPr>
        <w:rPr>
          <w:rFonts w:ascii="Calibri" w:eastAsiaTheme="minorHAnsi" w:hAnsi="Calibri" w:cstheme="minorBidi"/>
          <w:kern w:val="18"/>
          <w:sz w:val="21"/>
          <w:szCs w:val="21"/>
          <w:lang w:val="en-GB" w:eastAsia="en-US"/>
        </w:rPr>
      </w:pPr>
    </w:p>
    <w:p w14:paraId="59800447" w14:textId="77777777" w:rsidR="00DA11DB" w:rsidRPr="00DA11DB" w:rsidRDefault="00DA11DB" w:rsidP="00DA11DB">
      <w:pPr>
        <w:rPr>
          <w:rFonts w:ascii="Calibri" w:eastAsiaTheme="minorHAnsi" w:hAnsi="Calibri" w:cstheme="minorBidi"/>
          <w:b/>
          <w:bCs/>
          <w:kern w:val="18"/>
          <w:sz w:val="21"/>
          <w:szCs w:val="21"/>
          <w:lang w:val="en-GB" w:eastAsia="en-US"/>
        </w:rPr>
      </w:pPr>
      <w:r w:rsidRPr="00DA11DB">
        <w:rPr>
          <w:rFonts w:ascii="Calibri" w:eastAsiaTheme="minorHAnsi" w:hAnsi="Calibri" w:cstheme="minorBidi"/>
          <w:b/>
          <w:bCs/>
          <w:kern w:val="18"/>
          <w:sz w:val="21"/>
          <w:szCs w:val="21"/>
          <w:lang w:val="en-GB" w:eastAsia="en-US"/>
        </w:rPr>
        <w:t>Museum of Literature Ireland (MoLI)</w:t>
      </w:r>
    </w:p>
    <w:p w14:paraId="1F30F4A2" w14:textId="77777777" w:rsidR="00DA11DB" w:rsidRPr="00DA11DB" w:rsidRDefault="00DA11DB" w:rsidP="00DA11DB">
      <w:pPr>
        <w:rPr>
          <w:rFonts w:ascii="Calibri" w:eastAsiaTheme="minorHAnsi" w:hAnsi="Calibri" w:cstheme="minorBidi"/>
          <w:kern w:val="18"/>
          <w:sz w:val="21"/>
          <w:szCs w:val="21"/>
          <w:lang w:val="en-GB" w:eastAsia="en-US"/>
        </w:rPr>
      </w:pPr>
      <w:r w:rsidRPr="00DA11DB">
        <w:rPr>
          <w:rFonts w:ascii="Calibri" w:eastAsiaTheme="minorHAnsi" w:hAnsi="Calibri" w:cstheme="minorBidi"/>
          <w:kern w:val="18"/>
          <w:sz w:val="21"/>
          <w:szCs w:val="21"/>
          <w:lang w:val="en-GB" w:eastAsia="en-US"/>
        </w:rPr>
        <w:t xml:space="preserve">The Museum of Literature Ireland, branded MoLI in an homage to Molly Bloom, is a literary museum based in UCD's Newman House, St Stephen's Green, Dublin 2. The museum is a partnership between the National Library of Ireland and University College Dublin. </w:t>
      </w:r>
    </w:p>
    <w:p w14:paraId="3425A05A" w14:textId="4927CFED" w:rsidR="00DA11DB" w:rsidRPr="00DA11DB" w:rsidRDefault="00DA11DB" w:rsidP="00DA11DB">
      <w:pPr>
        <w:rPr>
          <w:rFonts w:ascii="Calibri" w:eastAsiaTheme="minorHAnsi" w:hAnsi="Calibri" w:cstheme="minorBidi"/>
          <w:kern w:val="18"/>
          <w:sz w:val="21"/>
          <w:szCs w:val="21"/>
          <w:lang w:val="en-GB" w:eastAsia="en-US"/>
        </w:rPr>
      </w:pPr>
      <w:r w:rsidRPr="00DA11DB">
        <w:rPr>
          <w:rFonts w:ascii="Calibri" w:eastAsiaTheme="minorHAnsi" w:hAnsi="Calibri" w:cstheme="minorBidi"/>
          <w:kern w:val="18"/>
          <w:sz w:val="21"/>
          <w:szCs w:val="21"/>
          <w:lang w:val="en-GB" w:eastAsia="en-US"/>
        </w:rPr>
        <w:t xml:space="preserve">See </w:t>
      </w:r>
      <w:hyperlink r:id="rId23" w:history="1">
        <w:r w:rsidR="004C393D" w:rsidRPr="005457FA">
          <w:rPr>
            <w:rStyle w:val="Hyperlink"/>
            <w:rFonts w:ascii="Calibri" w:eastAsiaTheme="minorHAnsi" w:hAnsi="Calibri" w:cstheme="minorBidi"/>
            <w:kern w:val="18"/>
            <w:sz w:val="21"/>
            <w:szCs w:val="21"/>
            <w:lang w:val="en-GB" w:eastAsia="en-US"/>
          </w:rPr>
          <w:t>www.moli.ie</w:t>
        </w:r>
      </w:hyperlink>
      <w:r w:rsidR="00890890">
        <w:rPr>
          <w:rFonts w:ascii="Calibri" w:eastAsiaTheme="minorHAnsi" w:hAnsi="Calibri" w:cstheme="minorBidi"/>
          <w:kern w:val="18"/>
          <w:sz w:val="21"/>
          <w:szCs w:val="21"/>
          <w:lang w:val="en-GB" w:eastAsia="en-US"/>
        </w:rPr>
        <w:t xml:space="preserve"> </w:t>
      </w:r>
    </w:p>
    <w:p w14:paraId="3EC5D2BF" w14:textId="77777777" w:rsidR="00890890" w:rsidRDefault="00890890" w:rsidP="00890890">
      <w:pPr>
        <w:rPr>
          <w:color w:val="000000"/>
          <w:lang w:eastAsia="en-US"/>
        </w:rPr>
      </w:pPr>
    </w:p>
    <w:p w14:paraId="2FA224FD" w14:textId="2DB2C895" w:rsidR="00890890" w:rsidRPr="00890890" w:rsidRDefault="00890890" w:rsidP="00890890">
      <w:pPr>
        <w:rPr>
          <w:rFonts w:ascii="Calibri" w:eastAsiaTheme="minorHAnsi" w:hAnsi="Calibri" w:cstheme="minorBidi"/>
          <w:kern w:val="18"/>
          <w:sz w:val="21"/>
          <w:szCs w:val="21"/>
          <w:lang w:val="en-GB" w:eastAsia="en-US"/>
        </w:rPr>
      </w:pPr>
      <w:r w:rsidRPr="00890890">
        <w:rPr>
          <w:rFonts w:ascii="Calibri" w:eastAsiaTheme="minorHAnsi" w:hAnsi="Calibri" w:cstheme="minorBidi"/>
          <w:kern w:val="18"/>
          <w:sz w:val="21"/>
          <w:szCs w:val="21"/>
          <w:lang w:val="en-GB" w:eastAsia="en-US"/>
        </w:rPr>
        <w:t>The University’s Campus Development Plan is available at:</w:t>
      </w:r>
    </w:p>
    <w:p w14:paraId="7A71D08E" w14:textId="5ABC044B" w:rsidR="00890890" w:rsidRPr="00890890" w:rsidRDefault="004C393D" w:rsidP="00890890">
      <w:pPr>
        <w:rPr>
          <w:rFonts w:ascii="Calibri" w:eastAsiaTheme="minorHAnsi" w:hAnsi="Calibri" w:cstheme="minorBidi"/>
          <w:kern w:val="18"/>
          <w:sz w:val="21"/>
          <w:szCs w:val="21"/>
          <w:lang w:val="en-GB" w:eastAsia="en-US"/>
        </w:rPr>
      </w:pPr>
      <w:hyperlink r:id="rId24" w:history="1">
        <w:r w:rsidRPr="005457FA">
          <w:rPr>
            <w:rStyle w:val="Hyperlink"/>
            <w:rFonts w:ascii="Calibri" w:eastAsiaTheme="minorHAnsi" w:hAnsi="Calibri" w:cstheme="minorBidi"/>
            <w:kern w:val="18"/>
            <w:sz w:val="21"/>
            <w:szCs w:val="21"/>
            <w:lang w:val="en-GB" w:eastAsia="en-US"/>
          </w:rPr>
          <w:t>www.ucd.ie/campusdevelopment/</w:t>
        </w:r>
      </w:hyperlink>
      <w:r w:rsidR="00890890">
        <w:rPr>
          <w:rFonts w:ascii="Calibri" w:eastAsiaTheme="minorHAnsi" w:hAnsi="Calibri" w:cstheme="minorBidi"/>
          <w:kern w:val="18"/>
          <w:sz w:val="21"/>
          <w:szCs w:val="21"/>
          <w:lang w:val="en-GB" w:eastAsia="en-US"/>
        </w:rPr>
        <w:t xml:space="preserve"> </w:t>
      </w:r>
    </w:p>
    <w:p w14:paraId="31429C77" w14:textId="77777777" w:rsidR="00A87E81" w:rsidRDefault="00A87E81" w:rsidP="00890890">
      <w:pPr>
        <w:rPr>
          <w:rFonts w:ascii="Calibri" w:eastAsiaTheme="minorHAnsi" w:hAnsi="Calibri" w:cstheme="minorBidi"/>
          <w:kern w:val="18"/>
          <w:sz w:val="21"/>
          <w:szCs w:val="21"/>
          <w:lang w:val="en-GB" w:eastAsia="en-US"/>
        </w:rPr>
      </w:pPr>
    </w:p>
    <w:p w14:paraId="7B5ABED5" w14:textId="6D9CBE6F" w:rsidR="00890890" w:rsidRPr="00890890" w:rsidRDefault="00890890" w:rsidP="00890890">
      <w:pPr>
        <w:rPr>
          <w:rFonts w:ascii="Calibri" w:eastAsiaTheme="minorHAnsi" w:hAnsi="Calibri" w:cstheme="minorBidi"/>
          <w:kern w:val="18"/>
          <w:sz w:val="21"/>
          <w:szCs w:val="21"/>
          <w:lang w:val="en-GB" w:eastAsia="en-US"/>
        </w:rPr>
      </w:pPr>
      <w:r w:rsidRPr="00890890">
        <w:rPr>
          <w:rFonts w:ascii="Calibri" w:eastAsiaTheme="minorHAnsi" w:hAnsi="Calibri" w:cstheme="minorBidi"/>
          <w:kern w:val="18"/>
          <w:sz w:val="21"/>
          <w:szCs w:val="21"/>
          <w:lang w:val="en-GB" w:eastAsia="en-US"/>
        </w:rPr>
        <w:t xml:space="preserve">The University’s Strategic Plan is available at </w:t>
      </w:r>
      <w:hyperlink r:id="rId25" w:history="1">
        <w:r w:rsidR="001574EC" w:rsidRPr="005457FA">
          <w:rPr>
            <w:rStyle w:val="Hyperlink"/>
            <w:rFonts w:ascii="Calibri" w:eastAsiaTheme="minorHAnsi" w:hAnsi="Calibri" w:cstheme="minorBidi"/>
            <w:kern w:val="18"/>
            <w:sz w:val="21"/>
            <w:szCs w:val="21"/>
            <w:lang w:val="en-GB" w:eastAsia="en-US"/>
          </w:rPr>
          <w:t>www.ucd.ie/strategy</w:t>
        </w:r>
      </w:hyperlink>
    </w:p>
    <w:p w14:paraId="0055285F" w14:textId="6BB3DB77" w:rsidR="00917394" w:rsidRPr="00890890" w:rsidRDefault="00917394">
      <w:pPr>
        <w:rPr>
          <w:rFonts w:ascii="Calibri" w:eastAsiaTheme="minorHAnsi" w:hAnsi="Calibri" w:cstheme="minorBidi"/>
          <w:kern w:val="18"/>
          <w:sz w:val="21"/>
          <w:szCs w:val="21"/>
          <w:lang w:val="en-GB" w:eastAsia="en-US"/>
        </w:rPr>
      </w:pPr>
      <w:r w:rsidRPr="00890890">
        <w:rPr>
          <w:rFonts w:ascii="Calibri" w:eastAsiaTheme="minorHAnsi" w:hAnsi="Calibri" w:cstheme="minorBidi"/>
          <w:kern w:val="18"/>
          <w:sz w:val="21"/>
          <w:szCs w:val="21"/>
          <w:lang w:val="en-GB" w:eastAsia="en-US"/>
        </w:rPr>
        <w:br w:type="page"/>
      </w:r>
    </w:p>
    <w:p w14:paraId="6DF7681A" w14:textId="77777777" w:rsidR="00755F86" w:rsidRPr="00921788" w:rsidRDefault="00755F86" w:rsidP="00921788">
      <w:pPr>
        <w:rPr>
          <w:rFonts w:ascii="Calibri" w:eastAsiaTheme="minorHAnsi" w:hAnsi="Calibri" w:cstheme="minorBidi"/>
          <w:color w:val="008768" w:themeColor="accent1"/>
          <w:kern w:val="18"/>
          <w:sz w:val="21"/>
          <w:szCs w:val="21"/>
          <w:u w:val="single"/>
          <w:lang w:val="en-GB" w:eastAsia="en-US"/>
        </w:rPr>
      </w:pPr>
    </w:p>
    <w:p w14:paraId="19D5BEE7" w14:textId="5EE2BC0E" w:rsidR="00E9686C" w:rsidRDefault="00755F86" w:rsidP="008024B2">
      <w:pPr>
        <w:pStyle w:val="Heading1"/>
        <w:ind w:hanging="720"/>
      </w:pPr>
      <w:bookmarkStart w:id="28" w:name="_Toc196294351"/>
      <w:r>
        <w:t>Scope of the Framework Agreement</w:t>
      </w:r>
      <w:bookmarkEnd w:id="28"/>
    </w:p>
    <w:p w14:paraId="3B5549F1" w14:textId="470AE6BD" w:rsidR="00755F86" w:rsidRPr="00755F86" w:rsidRDefault="00755F86" w:rsidP="008024B2">
      <w:pPr>
        <w:pStyle w:val="Heading2"/>
        <w:numPr>
          <w:ilvl w:val="1"/>
          <w:numId w:val="28"/>
        </w:numPr>
        <w:ind w:hanging="780"/>
      </w:pPr>
      <w:bookmarkStart w:id="29" w:name="_Toc196294352"/>
      <w:r>
        <w:t>Type of Framework</w:t>
      </w:r>
      <w:bookmarkEnd w:id="29"/>
    </w:p>
    <w:p w14:paraId="1D3985DF" w14:textId="77777777" w:rsidR="00755F86" w:rsidRPr="00755F86" w:rsidRDefault="00755F86" w:rsidP="00755F86">
      <w:pPr>
        <w:jc w:val="both"/>
        <w:rPr>
          <w:rFonts w:ascii="Calibri" w:hAnsi="Calibri" w:cs="Calibri"/>
          <w:sz w:val="21"/>
          <w:szCs w:val="21"/>
        </w:rPr>
      </w:pPr>
      <w:r w:rsidRPr="00755F86">
        <w:rPr>
          <w:rFonts w:ascii="Calibri" w:hAnsi="Calibri" w:cs="Calibri"/>
          <w:sz w:val="21"/>
          <w:szCs w:val="21"/>
        </w:rPr>
        <w:t>The Contracting Authority proposes to engage in a competitive process for the establishment of a framework agreement.  A framework agreement constitutes a means of establishing overall terms and conditions in accordance with which, for a specified duration, individual contra</w:t>
      </w:r>
      <w:bookmarkStart w:id="30" w:name="_Hlk509327772"/>
      <w:r w:rsidRPr="00755F86">
        <w:rPr>
          <w:rFonts w:ascii="Calibri" w:hAnsi="Calibri" w:cs="Calibri"/>
          <w:sz w:val="21"/>
          <w:szCs w:val="21"/>
        </w:rPr>
        <w:t xml:space="preserve">cts may or may not be awarded. </w:t>
      </w:r>
    </w:p>
    <w:tbl>
      <w:tblPr>
        <w:tblStyle w:val="TableGrid"/>
        <w:tblW w:w="8926" w:type="dxa"/>
        <w:tblLook w:val="04A0" w:firstRow="1" w:lastRow="0" w:firstColumn="1" w:lastColumn="0" w:noHBand="0" w:noVBand="1"/>
      </w:tblPr>
      <w:tblGrid>
        <w:gridCol w:w="2547"/>
        <w:gridCol w:w="6379"/>
      </w:tblGrid>
      <w:tr w:rsidR="00755F86" w:rsidRPr="00755F86" w14:paraId="2E0C5106" w14:textId="77777777" w:rsidTr="3756B6F4">
        <w:trPr>
          <w:cnfStyle w:val="100000000000" w:firstRow="1" w:lastRow="0" w:firstColumn="0" w:lastColumn="0" w:oddVBand="0" w:evenVBand="0" w:oddHBand="0" w:evenHBand="0" w:firstRowFirstColumn="0" w:firstRowLastColumn="0" w:lastRowFirstColumn="0" w:lastRowLastColumn="0"/>
        </w:trPr>
        <w:tc>
          <w:tcPr>
            <w:tcW w:w="2547" w:type="dxa"/>
          </w:tcPr>
          <w:p w14:paraId="42D17914" w14:textId="77777777" w:rsidR="00755F86" w:rsidRPr="00755F86" w:rsidRDefault="00755F86" w:rsidP="008024B2">
            <w:pPr>
              <w:jc w:val="both"/>
              <w:rPr>
                <w:rFonts w:ascii="Calibri" w:hAnsi="Calibri" w:cs="Calibri"/>
                <w:sz w:val="21"/>
                <w:szCs w:val="21"/>
              </w:rPr>
            </w:pPr>
            <w:r w:rsidRPr="00755F86">
              <w:rPr>
                <w:rFonts w:ascii="Calibri" w:hAnsi="Calibri" w:cs="Calibri"/>
                <w:sz w:val="21"/>
                <w:szCs w:val="21"/>
              </w:rPr>
              <w:t>For</w:t>
            </w:r>
          </w:p>
        </w:tc>
        <w:tc>
          <w:tcPr>
            <w:tcW w:w="6379" w:type="dxa"/>
          </w:tcPr>
          <w:p w14:paraId="791ECF86" w14:textId="77777777" w:rsidR="00755F86" w:rsidRPr="00755F86" w:rsidRDefault="00755F86" w:rsidP="008024B2">
            <w:pPr>
              <w:jc w:val="both"/>
              <w:rPr>
                <w:rFonts w:ascii="Calibri" w:hAnsi="Calibri" w:cs="Calibri"/>
                <w:sz w:val="21"/>
                <w:szCs w:val="21"/>
              </w:rPr>
            </w:pPr>
            <w:r w:rsidRPr="00755F86">
              <w:rPr>
                <w:rFonts w:ascii="Calibri" w:hAnsi="Calibri" w:cs="Calibri"/>
                <w:sz w:val="21"/>
                <w:szCs w:val="21"/>
              </w:rPr>
              <w:t>Reinstatement Cost Consultancy Services</w:t>
            </w:r>
          </w:p>
        </w:tc>
      </w:tr>
      <w:tr w:rsidR="00755F86" w:rsidRPr="00755F86" w14:paraId="2C7DD5A5" w14:textId="77777777" w:rsidTr="3756B6F4">
        <w:tc>
          <w:tcPr>
            <w:tcW w:w="2547" w:type="dxa"/>
          </w:tcPr>
          <w:p w14:paraId="298D2B13" w14:textId="77777777" w:rsidR="00755F86" w:rsidRPr="00755F86" w:rsidRDefault="00755F86" w:rsidP="008024B2">
            <w:pPr>
              <w:jc w:val="both"/>
              <w:rPr>
                <w:rFonts w:ascii="Calibri" w:hAnsi="Calibri" w:cs="Calibri"/>
                <w:sz w:val="21"/>
                <w:szCs w:val="21"/>
              </w:rPr>
            </w:pPr>
            <w:r w:rsidRPr="00755F86">
              <w:rPr>
                <w:rFonts w:ascii="Calibri" w:hAnsi="Calibri" w:cs="Calibri"/>
                <w:sz w:val="21"/>
                <w:szCs w:val="21"/>
              </w:rPr>
              <w:t xml:space="preserve">Type of framework: </w:t>
            </w:r>
          </w:p>
        </w:tc>
        <w:tc>
          <w:tcPr>
            <w:tcW w:w="6379" w:type="dxa"/>
          </w:tcPr>
          <w:p w14:paraId="27BA2DDA" w14:textId="77777777" w:rsidR="00755F86" w:rsidRPr="00755F86" w:rsidRDefault="00755F86" w:rsidP="008024B2">
            <w:pPr>
              <w:jc w:val="both"/>
              <w:rPr>
                <w:rFonts w:ascii="Calibri" w:hAnsi="Calibri" w:cs="Calibri"/>
                <w:sz w:val="21"/>
                <w:szCs w:val="21"/>
              </w:rPr>
            </w:pPr>
            <w:r w:rsidRPr="00755F86">
              <w:rPr>
                <w:rFonts w:ascii="Calibri" w:hAnsi="Calibri" w:cs="Calibri"/>
                <w:sz w:val="21"/>
                <w:szCs w:val="21"/>
              </w:rPr>
              <w:t>Single Party Framework Agreement</w:t>
            </w:r>
          </w:p>
        </w:tc>
      </w:tr>
      <w:tr w:rsidR="00755F86" w:rsidRPr="00755F86" w14:paraId="4EB0D997" w14:textId="77777777" w:rsidTr="3756B6F4">
        <w:tc>
          <w:tcPr>
            <w:tcW w:w="2547" w:type="dxa"/>
          </w:tcPr>
          <w:p w14:paraId="7279DF6C" w14:textId="77777777" w:rsidR="00755F86" w:rsidRPr="00755F86" w:rsidRDefault="00755F86" w:rsidP="008024B2">
            <w:pPr>
              <w:jc w:val="both"/>
              <w:rPr>
                <w:rFonts w:ascii="Calibri" w:hAnsi="Calibri" w:cs="Calibri"/>
                <w:sz w:val="21"/>
                <w:szCs w:val="21"/>
              </w:rPr>
            </w:pPr>
            <w:r w:rsidRPr="00755F86">
              <w:rPr>
                <w:rFonts w:ascii="Calibri" w:hAnsi="Calibri" w:cs="Calibri"/>
                <w:sz w:val="21"/>
                <w:szCs w:val="21"/>
              </w:rPr>
              <w:t>Lots</w:t>
            </w:r>
          </w:p>
        </w:tc>
        <w:tc>
          <w:tcPr>
            <w:tcW w:w="6379" w:type="dxa"/>
          </w:tcPr>
          <w:p w14:paraId="2FE5982A" w14:textId="3EB3D1E0" w:rsidR="0EE61166" w:rsidRPr="00097E40" w:rsidRDefault="0EE61166" w:rsidP="3756B6F4">
            <w:pPr>
              <w:rPr>
                <w:rFonts w:ascii="Calibri" w:hAnsi="Calibri" w:cs="Calibri"/>
                <w:sz w:val="21"/>
                <w:szCs w:val="21"/>
              </w:rPr>
            </w:pPr>
            <w:r w:rsidRPr="00097E40">
              <w:rPr>
                <w:rFonts w:ascii="Calibri" w:hAnsi="Calibri" w:cs="Calibri"/>
                <w:sz w:val="21"/>
                <w:szCs w:val="21"/>
              </w:rPr>
              <w:t xml:space="preserve">LOT 1: </w:t>
            </w:r>
            <w:r w:rsidR="00AC25A3" w:rsidRPr="00097E40">
              <w:rPr>
                <w:rFonts w:ascii="Calibri" w:hAnsi="Calibri" w:cs="Calibri"/>
                <w:sz w:val="21"/>
                <w:szCs w:val="21"/>
              </w:rPr>
              <w:t xml:space="preserve">University College Dublin </w:t>
            </w:r>
            <w:r w:rsidRPr="00097E40">
              <w:rPr>
                <w:rFonts w:ascii="Calibri" w:hAnsi="Calibri" w:cs="Calibri"/>
                <w:sz w:val="21"/>
                <w:szCs w:val="21"/>
              </w:rPr>
              <w:t xml:space="preserve">– </w:t>
            </w:r>
            <w:r w:rsidR="00EE144D" w:rsidRPr="00097E40">
              <w:rPr>
                <w:rFonts w:ascii="Calibri" w:hAnsi="Calibri" w:cs="Calibri"/>
                <w:sz w:val="21"/>
                <w:szCs w:val="21"/>
              </w:rPr>
              <w:t>UCDOPP5531</w:t>
            </w:r>
          </w:p>
          <w:p w14:paraId="2D79F8B2" w14:textId="7EDEFD65" w:rsidR="004A26CE" w:rsidRPr="004A26CE" w:rsidRDefault="0EE61166" w:rsidP="004A26CE">
            <w:pPr>
              <w:rPr>
                <w:rFonts w:ascii="Calibri" w:hAnsi="Calibri" w:cs="Calibri"/>
                <w:sz w:val="21"/>
                <w:szCs w:val="21"/>
              </w:rPr>
            </w:pPr>
            <w:r w:rsidRPr="004A26CE">
              <w:rPr>
                <w:rFonts w:ascii="Calibri" w:hAnsi="Calibri" w:cs="Calibri"/>
                <w:sz w:val="21"/>
                <w:szCs w:val="21"/>
              </w:rPr>
              <w:t xml:space="preserve">LOT 2: </w:t>
            </w:r>
            <w:r w:rsidR="00AC25A3" w:rsidRPr="004A26CE">
              <w:rPr>
                <w:rFonts w:ascii="Calibri" w:hAnsi="Calibri" w:cs="Calibri"/>
                <w:sz w:val="21"/>
                <w:szCs w:val="21"/>
              </w:rPr>
              <w:t xml:space="preserve">University of Limerick </w:t>
            </w:r>
            <w:r w:rsidR="00755F86" w:rsidRPr="004A26CE">
              <w:rPr>
                <w:rFonts w:ascii="Calibri" w:hAnsi="Calibri" w:cs="Calibri"/>
                <w:sz w:val="21"/>
                <w:szCs w:val="21"/>
              </w:rPr>
              <w:t>–</w:t>
            </w:r>
            <w:r w:rsidR="004A26CE" w:rsidRPr="004A26CE">
              <w:rPr>
                <w:rFonts w:ascii="Calibri" w:hAnsi="Calibri" w:cs="Calibri"/>
                <w:sz w:val="21"/>
                <w:szCs w:val="21"/>
              </w:rPr>
              <w:t>UL0997</w:t>
            </w:r>
          </w:p>
          <w:p w14:paraId="06218325" w14:textId="121A3879" w:rsidR="00E30FC8" w:rsidRPr="00296EBE" w:rsidRDefault="00E30FC8" w:rsidP="004A26CE">
            <w:pPr>
              <w:rPr>
                <w:rFonts w:ascii="Calibri" w:hAnsi="Calibri" w:cs="Calibri"/>
                <w:sz w:val="21"/>
                <w:szCs w:val="21"/>
                <w:highlight w:val="yellow"/>
              </w:rPr>
            </w:pPr>
            <w:r w:rsidRPr="004A26CE">
              <w:rPr>
                <w:rFonts w:ascii="Calibri" w:hAnsi="Calibri" w:cs="Calibri"/>
                <w:sz w:val="21"/>
                <w:szCs w:val="21"/>
              </w:rPr>
              <w:t>LOT 3:</w:t>
            </w:r>
            <w:r w:rsidR="00AC25A3" w:rsidRPr="004A26CE">
              <w:rPr>
                <w:rFonts w:ascii="Calibri" w:hAnsi="Calibri" w:cs="Calibri"/>
                <w:sz w:val="21"/>
                <w:szCs w:val="21"/>
              </w:rPr>
              <w:t xml:space="preserve"> University of Galway </w:t>
            </w:r>
            <w:r w:rsidRPr="004A26CE">
              <w:rPr>
                <w:rFonts w:ascii="Calibri" w:hAnsi="Calibri" w:cs="Calibri"/>
                <w:sz w:val="21"/>
                <w:szCs w:val="21"/>
              </w:rPr>
              <w:t>–</w:t>
            </w:r>
            <w:r w:rsidR="004A26CE" w:rsidRPr="004A26CE">
              <w:rPr>
                <w:rFonts w:ascii="Calibri" w:hAnsi="Calibri" w:cs="Calibri"/>
                <w:sz w:val="21"/>
                <w:szCs w:val="21"/>
              </w:rPr>
              <w:t>BUILD/1317/2025</w:t>
            </w:r>
          </w:p>
        </w:tc>
      </w:tr>
      <w:tr w:rsidR="00755F86" w:rsidRPr="00755F86" w14:paraId="7D0D5B46" w14:textId="77777777" w:rsidTr="3756B6F4">
        <w:tc>
          <w:tcPr>
            <w:tcW w:w="2547" w:type="dxa"/>
          </w:tcPr>
          <w:p w14:paraId="719843B4" w14:textId="77777777" w:rsidR="00755F86" w:rsidRPr="00755F86" w:rsidRDefault="00755F86" w:rsidP="008024B2">
            <w:pPr>
              <w:jc w:val="both"/>
              <w:rPr>
                <w:rFonts w:ascii="Calibri" w:hAnsi="Calibri" w:cs="Calibri"/>
                <w:sz w:val="21"/>
                <w:szCs w:val="21"/>
              </w:rPr>
            </w:pPr>
            <w:r w:rsidRPr="00755F86">
              <w:rPr>
                <w:rFonts w:ascii="Calibri" w:hAnsi="Calibri" w:cs="Calibri"/>
                <w:sz w:val="21"/>
                <w:szCs w:val="21"/>
              </w:rPr>
              <w:t xml:space="preserve">Award of contracts: </w:t>
            </w:r>
          </w:p>
        </w:tc>
        <w:tc>
          <w:tcPr>
            <w:tcW w:w="6379" w:type="dxa"/>
          </w:tcPr>
          <w:p w14:paraId="796A4606" w14:textId="77777777" w:rsidR="00755F86" w:rsidRPr="00755F86" w:rsidRDefault="00755F86" w:rsidP="008024B2">
            <w:pPr>
              <w:jc w:val="both"/>
              <w:rPr>
                <w:rFonts w:ascii="Calibri" w:hAnsi="Calibri" w:cs="Calibri"/>
                <w:sz w:val="21"/>
                <w:szCs w:val="21"/>
              </w:rPr>
            </w:pPr>
            <w:r w:rsidRPr="00755F86">
              <w:rPr>
                <w:rFonts w:ascii="Calibri" w:hAnsi="Calibri" w:cs="Calibri"/>
                <w:sz w:val="21"/>
                <w:szCs w:val="21"/>
              </w:rPr>
              <w:t xml:space="preserve">In the context of a single-party framework agreement, the successful Framework Member does not have to compete for each new contract.  It is emphasised that a framework agreement constitutes no guarantee to purchase a specific quantity of supplies or services from a particular economic operator.  </w:t>
            </w:r>
          </w:p>
        </w:tc>
      </w:tr>
    </w:tbl>
    <w:p w14:paraId="314CE121" w14:textId="645876D9" w:rsidR="00755F86" w:rsidRDefault="00755F86" w:rsidP="008024B2">
      <w:pPr>
        <w:pStyle w:val="Heading2"/>
        <w:numPr>
          <w:ilvl w:val="1"/>
          <w:numId w:val="28"/>
        </w:numPr>
        <w:ind w:hanging="780"/>
      </w:pPr>
      <w:bookmarkStart w:id="31" w:name="_Toc196294353"/>
      <w:bookmarkEnd w:id="30"/>
      <w:r>
        <w:t>Numbers Admitted to the Framework Agreement</w:t>
      </w:r>
      <w:bookmarkEnd w:id="31"/>
    </w:p>
    <w:p w14:paraId="55AAAD05" w14:textId="388C7F54" w:rsidR="00755F86" w:rsidRDefault="00755F86" w:rsidP="00755F86">
      <w:pPr>
        <w:pStyle w:val="BodyText"/>
        <w:rPr>
          <w:lang w:val="en-IE" w:eastAsia="en-IE"/>
        </w:rPr>
      </w:pPr>
      <w:r w:rsidRPr="00755F86">
        <w:rPr>
          <w:lang w:val="en-IE" w:eastAsia="en-IE"/>
        </w:rPr>
        <w:t>The framework agreement will be established as a single party framework agreement with the tenderer selected following the tender stage and the application of the award criteria.  Thereafter they will be considered for the award of all contracts within the scope of the framework agreement.</w:t>
      </w:r>
    </w:p>
    <w:p w14:paraId="2C7A6BB6" w14:textId="1385281A" w:rsidR="00A26807" w:rsidRDefault="00A26807" w:rsidP="008024B2">
      <w:pPr>
        <w:pStyle w:val="Heading2"/>
        <w:numPr>
          <w:ilvl w:val="1"/>
          <w:numId w:val="28"/>
        </w:numPr>
        <w:ind w:hanging="780"/>
      </w:pPr>
      <w:bookmarkStart w:id="32" w:name="_Toc196294354"/>
      <w:r>
        <w:t>Duration of the Framework Agreement</w:t>
      </w:r>
      <w:bookmarkEnd w:id="32"/>
    </w:p>
    <w:p w14:paraId="47F6929A" w14:textId="77777777" w:rsidR="00A26807" w:rsidRPr="00A26807" w:rsidRDefault="00A26807" w:rsidP="00A26807">
      <w:pPr>
        <w:pStyle w:val="BodyText"/>
        <w:rPr>
          <w:lang w:val="en-IE" w:eastAsia="en-IE"/>
        </w:rPr>
      </w:pPr>
      <w:r w:rsidRPr="00A26807">
        <w:rPr>
          <w:lang w:val="en-IE" w:eastAsia="en-IE"/>
        </w:rPr>
        <w:t xml:space="preserve">The framework agreement will be for five (5) years, conditional on satisfactory performance, business needs and budgetary constraints. </w:t>
      </w:r>
    </w:p>
    <w:p w14:paraId="5962E68D" w14:textId="77777777" w:rsidR="00A26807" w:rsidRPr="00A26807" w:rsidRDefault="00A26807" w:rsidP="00A26807">
      <w:pPr>
        <w:pStyle w:val="BodyText"/>
        <w:rPr>
          <w:lang w:val="en-IE" w:eastAsia="en-IE"/>
        </w:rPr>
      </w:pPr>
      <w:r w:rsidRPr="00A26807">
        <w:rPr>
          <w:lang w:val="en-IE" w:eastAsia="en-IE"/>
        </w:rPr>
        <w:t>The Contracting Authority propose to run a framework for Reinstatement Cost Consultancy Services for a longer duration than usual. The Contracting Authority require the duration of the framework for the consultancy services to define, establish and commence a process that will allow a rolling update of the Reinstatement Cost into the future while delivering an economical yet robust and consistent Reinstatement Cost for insurance purposes.</w:t>
      </w:r>
    </w:p>
    <w:p w14:paraId="42338970" w14:textId="77777777" w:rsidR="00A26807" w:rsidRPr="00A26807" w:rsidRDefault="00A26807" w:rsidP="00A26807">
      <w:pPr>
        <w:pStyle w:val="BodyText"/>
        <w:rPr>
          <w:lang w:val="en-IE" w:eastAsia="en-IE"/>
        </w:rPr>
      </w:pPr>
      <w:r w:rsidRPr="00A26807">
        <w:rPr>
          <w:lang w:val="en-IE" w:eastAsia="en-IE"/>
        </w:rPr>
        <w:t>In order to understand the campus and its complexities, a level of initial investment is required on the part of the consultant. Once appointed the consultant will be required to spend considerable time getting to know the campus, its physical layout and buildings plans. Only after this period will the consultant be in a position to implement the objectives and provide the services, the subject of the framework agreement. It is also more economically advantageous for the Contracting Authority to procure a consultant for this specific role for five years to avoid the cost and complexities of the initial outlay.</w:t>
      </w:r>
    </w:p>
    <w:p w14:paraId="766022DE" w14:textId="4E2C5BD6" w:rsidR="00A26807" w:rsidRDefault="00A26807" w:rsidP="00A26807">
      <w:pPr>
        <w:pStyle w:val="BodyText"/>
        <w:rPr>
          <w:lang w:val="en-IE" w:eastAsia="en-IE"/>
        </w:rPr>
      </w:pPr>
      <w:r w:rsidRPr="00A26807">
        <w:rPr>
          <w:lang w:val="en-IE" w:eastAsia="en-IE"/>
        </w:rPr>
        <w:t>For the avoidance of doubt, the Contracting Authority confirms that the period of any contract awarded under the framework agreement may extend beyond the date of expiry of the agreement.</w:t>
      </w:r>
    </w:p>
    <w:p w14:paraId="467498E9" w14:textId="77777777" w:rsidR="005E5B43" w:rsidRPr="00A26807" w:rsidRDefault="005E5B43" w:rsidP="00A26807">
      <w:pPr>
        <w:pStyle w:val="BodyText"/>
        <w:rPr>
          <w:lang w:val="en-IE" w:eastAsia="en-IE"/>
        </w:rPr>
      </w:pPr>
    </w:p>
    <w:p w14:paraId="4B259A0F" w14:textId="77777777" w:rsidR="00805BBC" w:rsidRPr="00805BBC" w:rsidRDefault="00805BBC" w:rsidP="002F41CC">
      <w:pPr>
        <w:pStyle w:val="ListParagraph"/>
        <w:keepNext/>
        <w:keepLines/>
        <w:numPr>
          <w:ilvl w:val="0"/>
          <w:numId w:val="29"/>
        </w:numPr>
        <w:spacing w:before="240" w:after="120"/>
        <w:contextualSpacing w:val="0"/>
        <w:outlineLvl w:val="1"/>
        <w:rPr>
          <w:rFonts w:asciiTheme="majorHAnsi" w:eastAsiaTheme="majorEastAsia" w:hAnsiTheme="majorHAnsi" w:cstheme="majorBidi"/>
          <w:b/>
          <w:bCs/>
          <w:vanish/>
          <w:color w:val="0070C0"/>
          <w:szCs w:val="26"/>
        </w:rPr>
      </w:pPr>
      <w:bookmarkStart w:id="33" w:name="_Toc188727519"/>
      <w:bookmarkStart w:id="34" w:name="_Toc188857023"/>
      <w:bookmarkStart w:id="35" w:name="_Toc188857066"/>
      <w:bookmarkStart w:id="36" w:name="_Toc195622010"/>
      <w:bookmarkStart w:id="37" w:name="_Toc196294355"/>
      <w:bookmarkEnd w:id="33"/>
      <w:bookmarkEnd w:id="34"/>
      <w:bookmarkEnd w:id="35"/>
      <w:bookmarkEnd w:id="36"/>
      <w:bookmarkEnd w:id="37"/>
    </w:p>
    <w:p w14:paraId="56A46600" w14:textId="77777777" w:rsidR="00805BBC" w:rsidRPr="00805BBC" w:rsidRDefault="00805BBC" w:rsidP="002F41CC">
      <w:pPr>
        <w:pStyle w:val="ListParagraph"/>
        <w:keepNext/>
        <w:keepLines/>
        <w:numPr>
          <w:ilvl w:val="0"/>
          <w:numId w:val="29"/>
        </w:numPr>
        <w:spacing w:before="240" w:after="120"/>
        <w:contextualSpacing w:val="0"/>
        <w:outlineLvl w:val="1"/>
        <w:rPr>
          <w:rFonts w:asciiTheme="majorHAnsi" w:eastAsiaTheme="majorEastAsia" w:hAnsiTheme="majorHAnsi" w:cstheme="majorBidi"/>
          <w:b/>
          <w:bCs/>
          <w:vanish/>
          <w:color w:val="0070C0"/>
          <w:szCs w:val="26"/>
        </w:rPr>
      </w:pPr>
      <w:bookmarkStart w:id="38" w:name="_Toc188727520"/>
      <w:bookmarkStart w:id="39" w:name="_Toc188857024"/>
      <w:bookmarkStart w:id="40" w:name="_Toc188857067"/>
      <w:bookmarkStart w:id="41" w:name="_Toc195622011"/>
      <w:bookmarkStart w:id="42" w:name="_Toc196294356"/>
      <w:bookmarkEnd w:id="38"/>
      <w:bookmarkEnd w:id="39"/>
      <w:bookmarkEnd w:id="40"/>
      <w:bookmarkEnd w:id="41"/>
      <w:bookmarkEnd w:id="42"/>
    </w:p>
    <w:p w14:paraId="780D815A" w14:textId="11B70D4D" w:rsidR="00885B1B" w:rsidRPr="003E5953" w:rsidRDefault="008024B2" w:rsidP="00755F86">
      <w:pPr>
        <w:pStyle w:val="Heading2"/>
        <w:numPr>
          <w:ilvl w:val="1"/>
          <w:numId w:val="28"/>
        </w:numPr>
        <w:ind w:left="709" w:hanging="709"/>
      </w:pPr>
      <w:bookmarkStart w:id="43" w:name="_Toc188727521"/>
      <w:bookmarkStart w:id="44" w:name="_Toc188857025"/>
      <w:bookmarkStart w:id="45" w:name="_Toc188857068"/>
      <w:bookmarkStart w:id="46" w:name="_Toc195622012"/>
      <w:bookmarkStart w:id="47" w:name="_Toc196294357"/>
      <w:bookmarkEnd w:id="43"/>
      <w:bookmarkEnd w:id="44"/>
      <w:bookmarkEnd w:id="45"/>
      <w:bookmarkEnd w:id="46"/>
      <w:r>
        <w:t>Estimated Value of the Framework Agreement</w:t>
      </w:r>
      <w:bookmarkEnd w:id="47"/>
    </w:p>
    <w:p w14:paraId="154C490D" w14:textId="26DDD971" w:rsidR="00C94C48" w:rsidRDefault="00C94C48" w:rsidP="00C94C48">
      <w:pPr>
        <w:pStyle w:val="BodyText"/>
      </w:pPr>
      <w:r>
        <w:t>The estimated value of fees pursuant to the defined scope within the framework agreement is in the region of €300,000 (ex. VAT) over the 5 year lifetime of the framework. In addition, in estimating the total value of the framework a provisional estimate of €200,000 per lot is to be included for ad hoc services as set out in the scope over the lifetime of the framework. Combined, this brings the framework agreement estimate in the region of €900,000 (ex. VAT)</w:t>
      </w:r>
    </w:p>
    <w:p w14:paraId="121E9BEC" w14:textId="77777777" w:rsidR="005800D8" w:rsidRDefault="00C94C48" w:rsidP="00C94C48">
      <w:pPr>
        <w:pStyle w:val="BodyText"/>
      </w:pPr>
      <w:r>
        <w:t>It is emphasized that the University of Galway, the University of Limerick and University College Dublin will draw down from this Framework and separate contractual engagements will be put in place. Contracting Authorities will individually manage ongoing contractual obligations. The figure provided is strictly for indicative purposes and there is no guaranteed expenditure under the framework agreement.</w:t>
      </w:r>
    </w:p>
    <w:p w14:paraId="57BBB48A" w14:textId="4933CB43" w:rsidR="0037741D" w:rsidRPr="00114CE7" w:rsidRDefault="008024B2" w:rsidP="00755F86">
      <w:pPr>
        <w:pStyle w:val="Heading2"/>
        <w:numPr>
          <w:ilvl w:val="1"/>
          <w:numId w:val="28"/>
        </w:numPr>
        <w:ind w:left="709" w:hanging="709"/>
      </w:pPr>
      <w:bookmarkStart w:id="48" w:name="_Toc196294358"/>
      <w:r>
        <w:t>Awarding Contracts under the Framework Agreement</w:t>
      </w:r>
      <w:bookmarkEnd w:id="48"/>
    </w:p>
    <w:p w14:paraId="4783A44E" w14:textId="030FA45B" w:rsidR="00114CE7" w:rsidRDefault="008024B2" w:rsidP="008024B2">
      <w:pPr>
        <w:pStyle w:val="BodyText"/>
      </w:pPr>
      <w:r w:rsidRPr="008024B2">
        <w:t xml:space="preserve">In the case of a </w:t>
      </w:r>
      <w:r w:rsidRPr="008024B2">
        <w:rPr>
          <w:b/>
        </w:rPr>
        <w:t>single party framework agreement</w:t>
      </w:r>
      <w:r w:rsidRPr="008024B2">
        <w:t xml:space="preserve"> contracts may be awarded directly on foot of the original tenders or by consultation with the Framework Member and/or through invitation to provide a supplementary tender within the constraints laid down in this tender documentation and the terms and conditions. </w:t>
      </w:r>
    </w:p>
    <w:p w14:paraId="4CACF63D" w14:textId="77777777" w:rsidR="000D6783" w:rsidRDefault="000D6783" w:rsidP="000D6783">
      <w:pPr>
        <w:pStyle w:val="BodyText"/>
      </w:pPr>
      <w:r>
        <w:t>For the avoidance of doubt, this Framework is also being created for use by the Contracting Authority subsidiaries, at their own discretion, where they have no alternative arrangements in place. All contracts awarded under the Framework may be in any the Contracting Authority locations.</w:t>
      </w:r>
    </w:p>
    <w:p w14:paraId="291CF3BF" w14:textId="52823F87" w:rsidR="00114CE7" w:rsidRPr="00AD31FD" w:rsidRDefault="008024B2" w:rsidP="00755F86">
      <w:pPr>
        <w:pStyle w:val="Heading2"/>
        <w:numPr>
          <w:ilvl w:val="1"/>
          <w:numId w:val="28"/>
        </w:numPr>
        <w:ind w:left="709" w:hanging="709"/>
      </w:pPr>
      <w:bookmarkStart w:id="49" w:name="_Toc196294359"/>
      <w:r>
        <w:t>Management of Performance</w:t>
      </w:r>
      <w:bookmarkEnd w:id="49"/>
      <w:r w:rsidR="00114CE7" w:rsidRPr="00AD31FD">
        <w:t xml:space="preserve"> </w:t>
      </w:r>
    </w:p>
    <w:p w14:paraId="6A55B7AF" w14:textId="3290300D" w:rsidR="00114CE7" w:rsidRDefault="008024B2" w:rsidP="00397A16">
      <w:pPr>
        <w:pStyle w:val="BodyText"/>
      </w:pPr>
      <w:r w:rsidRPr="008024B2">
        <w:t xml:space="preserve">Supplier performance will be continually monitored over the term of the framework agreement. </w:t>
      </w:r>
    </w:p>
    <w:p w14:paraId="7574AE8E" w14:textId="51DAB562" w:rsidR="00114CE7" w:rsidRPr="00397A16" w:rsidRDefault="008024B2" w:rsidP="00755F86">
      <w:pPr>
        <w:pStyle w:val="Heading2"/>
        <w:numPr>
          <w:ilvl w:val="1"/>
          <w:numId w:val="28"/>
        </w:numPr>
        <w:ind w:left="709" w:hanging="709"/>
      </w:pPr>
      <w:bookmarkStart w:id="50" w:name="_Toc196294360"/>
      <w:r>
        <w:t>Right to Tender Outside of the Framework</w:t>
      </w:r>
      <w:bookmarkEnd w:id="50"/>
    </w:p>
    <w:p w14:paraId="3B2F4743" w14:textId="77777777" w:rsidR="008024B2" w:rsidRDefault="008024B2" w:rsidP="008024B2">
      <w:pPr>
        <w:pStyle w:val="BodyText"/>
      </w:pPr>
      <w:r>
        <w:t>The Contracting Authority intends to use the framework for the procurement of requirements falling within its scope during the specified period; however, it reserves the right to go outside the framework for the procurement of any requirement without reference to the Framework Member. Admission to a framework does not guarantee the award of any contract to any economic operator, nor does it give the member the right to be consulted in respect of, or tender for, any contract.</w:t>
      </w:r>
    </w:p>
    <w:p w14:paraId="1FCDA584" w14:textId="77777777" w:rsidR="008024B2" w:rsidRDefault="008024B2" w:rsidP="008024B2">
      <w:pPr>
        <w:pStyle w:val="BodyText"/>
      </w:pPr>
      <w:r>
        <w:t>Admission to the framework will be conditional upon acceptance of the Contracting Authority’s Contract Terms and Conditions provided with the tender documents at issue of tender.</w:t>
      </w:r>
    </w:p>
    <w:p w14:paraId="3F901434" w14:textId="0E5FAF76" w:rsidR="00114CE7" w:rsidRPr="00114CE7" w:rsidRDefault="008024B2" w:rsidP="00397A16">
      <w:pPr>
        <w:pStyle w:val="BodyText"/>
      </w:pPr>
      <w:r>
        <w:t>Tenderers are required to review these terms and conditions and indicate their acceptance thereof as part of their tender submission.</w:t>
      </w:r>
    </w:p>
    <w:p w14:paraId="351D9D05" w14:textId="73546747" w:rsidR="00114CE7" w:rsidRPr="00F71ABE" w:rsidRDefault="00921788" w:rsidP="00755F86">
      <w:pPr>
        <w:pStyle w:val="Heading2"/>
        <w:numPr>
          <w:ilvl w:val="1"/>
          <w:numId w:val="28"/>
        </w:numPr>
        <w:ind w:left="709" w:hanging="709"/>
      </w:pPr>
      <w:bookmarkStart w:id="51" w:name="_Toc196294361"/>
      <w:r>
        <w:t>Award to Runner Up</w:t>
      </w:r>
      <w:bookmarkEnd w:id="51"/>
    </w:p>
    <w:p w14:paraId="4AF95FBF" w14:textId="1EB4A202" w:rsidR="00114CE7" w:rsidRPr="00114CE7" w:rsidRDefault="00921788" w:rsidP="00397A16">
      <w:pPr>
        <w:pStyle w:val="BodyText"/>
      </w:pPr>
      <w:r w:rsidRPr="00921788">
        <w:t>If for any reason, it is not possible to establish the framework agreement with the designated successful tenderer emerging from this competitive process; the Contracting Authority reserves the right to establish the framework with the next highest scoring tenderer on the basis of the terms advertised at any time during the tender validity period. This shall be without prejudice to the right of the Contracting Authority to cancel this competitive process and/or initiate a new contract award procedure at its sole discretion</w:t>
      </w:r>
      <w:r>
        <w:t>.</w:t>
      </w:r>
    </w:p>
    <w:p w14:paraId="2F7678E9" w14:textId="7CED043C" w:rsidR="00921788" w:rsidRDefault="00921788">
      <w:pPr>
        <w:rPr>
          <w:rFonts w:ascii="Calibri" w:eastAsiaTheme="minorHAnsi" w:hAnsi="Calibri" w:cstheme="minorBidi"/>
          <w:kern w:val="18"/>
          <w:sz w:val="21"/>
          <w:szCs w:val="21"/>
          <w:lang w:val="en-GB" w:eastAsia="en-US"/>
        </w:rPr>
      </w:pPr>
      <w:r>
        <w:br w:type="page"/>
      </w:r>
    </w:p>
    <w:p w14:paraId="2BC87825" w14:textId="77777777" w:rsidR="00F64AF5" w:rsidRPr="00114CE7" w:rsidRDefault="00F64AF5" w:rsidP="00F64AF5">
      <w:pPr>
        <w:pStyle w:val="BodyText"/>
      </w:pPr>
    </w:p>
    <w:p w14:paraId="22ABC578" w14:textId="1EF28096" w:rsidR="0000046C" w:rsidRPr="00921788" w:rsidRDefault="00921788" w:rsidP="00921788">
      <w:pPr>
        <w:pStyle w:val="Heading1"/>
        <w:ind w:hanging="720"/>
      </w:pPr>
      <w:bookmarkStart w:id="52" w:name="_Toc188727534"/>
      <w:bookmarkStart w:id="53" w:name="_Toc188857038"/>
      <w:bookmarkStart w:id="54" w:name="_Toc188857081"/>
      <w:bookmarkStart w:id="55" w:name="_Toc195622025"/>
      <w:bookmarkStart w:id="56" w:name="_Toc188727535"/>
      <w:bookmarkStart w:id="57" w:name="_Toc188857039"/>
      <w:bookmarkStart w:id="58" w:name="_Toc188857082"/>
      <w:bookmarkStart w:id="59" w:name="_Toc195622026"/>
      <w:bookmarkStart w:id="60" w:name="_Toc196294362"/>
      <w:bookmarkEnd w:id="52"/>
      <w:bookmarkEnd w:id="53"/>
      <w:bookmarkEnd w:id="54"/>
      <w:bookmarkEnd w:id="55"/>
      <w:bookmarkEnd w:id="56"/>
      <w:bookmarkEnd w:id="57"/>
      <w:bookmarkEnd w:id="58"/>
      <w:bookmarkEnd w:id="59"/>
      <w:r>
        <w:t>Specification of Requirements</w:t>
      </w:r>
      <w:bookmarkEnd w:id="60"/>
    </w:p>
    <w:p w14:paraId="20BCD817" w14:textId="14537412" w:rsidR="00114CE7" w:rsidRPr="0000046C" w:rsidRDefault="00114CE7" w:rsidP="00755F86">
      <w:pPr>
        <w:pStyle w:val="Heading2"/>
        <w:numPr>
          <w:ilvl w:val="1"/>
          <w:numId w:val="28"/>
        </w:numPr>
        <w:ind w:left="709" w:hanging="709"/>
      </w:pPr>
      <w:bookmarkStart w:id="61" w:name="_Toc196294363"/>
      <w:r w:rsidRPr="0000046C">
        <w:t xml:space="preserve">Scope of this </w:t>
      </w:r>
      <w:r w:rsidR="00921788">
        <w:t>Framework Agreement</w:t>
      </w:r>
      <w:bookmarkEnd w:id="61"/>
    </w:p>
    <w:p w14:paraId="1502030F" w14:textId="45886ED7" w:rsidR="00114CE7" w:rsidRPr="003E383A" w:rsidRDefault="00921788" w:rsidP="00921788">
      <w:pPr>
        <w:pStyle w:val="Caption"/>
        <w:jc w:val="both"/>
        <w:rPr>
          <w:rFonts w:ascii="Calibri" w:hAnsi="Calibri" w:cs="Calibri"/>
        </w:rPr>
      </w:pPr>
      <w:r w:rsidRPr="00921788">
        <w:rPr>
          <w:rFonts w:ascii="Calibri" w:eastAsiaTheme="minorHAnsi" w:hAnsi="Calibri" w:cstheme="minorBidi"/>
          <w:b w:val="0"/>
          <w:bCs w:val="0"/>
          <w:kern w:val="18"/>
          <w:lang w:val="en-GB" w:eastAsia="en-US"/>
        </w:rPr>
        <w:t>The framework agreement will be established on foot of this tender competition. The framework agreement will also be used for unforeseen requirements which fall clearly within the defined scope of the framework and additional services (as and when required) the Contracting Authority will consult the members of the framework agreement in accordance with the rules of operation outlined in this Invitation to Tender.</w:t>
      </w:r>
    </w:p>
    <w:p w14:paraId="77476CBE" w14:textId="1F52B308" w:rsidR="00114CE7" w:rsidRPr="00114CE7" w:rsidRDefault="00921788" w:rsidP="00755F86">
      <w:pPr>
        <w:pStyle w:val="Heading2"/>
        <w:numPr>
          <w:ilvl w:val="1"/>
          <w:numId w:val="28"/>
        </w:numPr>
        <w:ind w:left="709" w:hanging="709"/>
      </w:pPr>
      <w:bookmarkStart w:id="62" w:name="_Hlk195705981"/>
      <w:bookmarkStart w:id="63" w:name="_Toc196294364"/>
      <w:r>
        <w:t xml:space="preserve">General </w:t>
      </w:r>
      <w:bookmarkEnd w:id="62"/>
      <w:r>
        <w:t>Details of Requirements</w:t>
      </w:r>
      <w:bookmarkEnd w:id="63"/>
    </w:p>
    <w:p w14:paraId="32A0929C" w14:textId="3A58395F" w:rsidR="00921788" w:rsidRDefault="00921788" w:rsidP="00921788">
      <w:pPr>
        <w:pStyle w:val="BodyText"/>
      </w:pPr>
      <w:r>
        <w:t xml:space="preserve">The Contracting Authority’s ambition is to create a base line </w:t>
      </w:r>
      <w:r w:rsidR="00B42523">
        <w:t>r</w:t>
      </w:r>
      <w:r>
        <w:t>einstatement Cost for property insurance purposes across its entire estate portfolio. Following the establishment of this base line, the Contracting Authority intends to review the established Reinstatement Cost on an annual basis.</w:t>
      </w:r>
    </w:p>
    <w:p w14:paraId="55252E42" w14:textId="77777777" w:rsidR="00921788" w:rsidRDefault="00921788" w:rsidP="00921788">
      <w:pPr>
        <w:pStyle w:val="BodyText"/>
      </w:pPr>
      <w:r>
        <w:t xml:space="preserve">The property insurance annual review is conducted during the period of </w:t>
      </w:r>
      <w:r w:rsidRPr="00111B84">
        <w:t>April through to August. The</w:t>
      </w:r>
      <w:r>
        <w:t xml:space="preserve"> Contracting Authority is seeking to prepare its annual Reinstatement Cost no later than March of each year to ensure the most recent and accurate information is provided into the property insurance review process.</w:t>
      </w:r>
    </w:p>
    <w:p w14:paraId="0E6C6DAD" w14:textId="1A7A613C" w:rsidR="00921788" w:rsidRDefault="00921788" w:rsidP="00921788">
      <w:pPr>
        <w:pStyle w:val="BodyText"/>
      </w:pPr>
      <w:r>
        <w:t xml:space="preserve">Reinstatement Costs will be required </w:t>
      </w:r>
      <w:r w:rsidR="006A1DD1">
        <w:t xml:space="preserve">to </w:t>
      </w:r>
      <w:r>
        <w:t>be developed into the current Risk and Underwriting information</w:t>
      </w:r>
      <w:r w:rsidR="00A968A5">
        <w:t xml:space="preserve">, together with photographic surveys of the existing property assets to be </w:t>
      </w:r>
      <w:r>
        <w:t>considered by the insurance market</w:t>
      </w:r>
      <w:r w:rsidR="00A968A5">
        <w:t>.</w:t>
      </w:r>
    </w:p>
    <w:p w14:paraId="07C664A4" w14:textId="29112373" w:rsidR="00967E43" w:rsidRDefault="00921788" w:rsidP="00921788">
      <w:pPr>
        <w:pStyle w:val="BodyText"/>
      </w:pPr>
      <w:r>
        <w:t>The Contracting Authority is seeking an economical and reasonable approach to the development of its Reinstatement Cost.</w:t>
      </w:r>
    </w:p>
    <w:p w14:paraId="5BE72656" w14:textId="493D092A" w:rsidR="00E3467E" w:rsidRPr="0047751C" w:rsidRDefault="006A1DD1" w:rsidP="00921788">
      <w:pPr>
        <w:pStyle w:val="BodyText"/>
        <w:rPr>
          <w:b/>
          <w:bCs/>
          <w:sz w:val="24"/>
          <w:szCs w:val="24"/>
        </w:rPr>
      </w:pPr>
      <w:r w:rsidRPr="0047751C">
        <w:rPr>
          <w:b/>
          <w:bCs/>
          <w:sz w:val="24"/>
          <w:szCs w:val="24"/>
        </w:rPr>
        <w:t xml:space="preserve">Lot </w:t>
      </w:r>
      <w:r w:rsidR="007B6C79" w:rsidRPr="0047751C">
        <w:rPr>
          <w:b/>
          <w:bCs/>
          <w:sz w:val="24"/>
          <w:szCs w:val="24"/>
        </w:rPr>
        <w:t>2</w:t>
      </w:r>
      <w:r w:rsidRPr="0047751C">
        <w:rPr>
          <w:b/>
          <w:bCs/>
          <w:sz w:val="24"/>
          <w:szCs w:val="24"/>
        </w:rPr>
        <w:t xml:space="preserve"> and </w:t>
      </w:r>
      <w:r w:rsidR="007B6C79" w:rsidRPr="0047751C">
        <w:rPr>
          <w:b/>
          <w:bCs/>
          <w:sz w:val="24"/>
          <w:szCs w:val="24"/>
        </w:rPr>
        <w:t>3</w:t>
      </w:r>
      <w:r w:rsidRPr="0047751C">
        <w:rPr>
          <w:b/>
          <w:bCs/>
          <w:sz w:val="24"/>
          <w:szCs w:val="24"/>
        </w:rPr>
        <w:t xml:space="preserve"> (</w:t>
      </w:r>
      <w:r w:rsidR="00E3467E" w:rsidRPr="0047751C">
        <w:rPr>
          <w:b/>
          <w:bCs/>
          <w:sz w:val="24"/>
          <w:szCs w:val="24"/>
        </w:rPr>
        <w:t>University of Limerick and University of Galway</w:t>
      </w:r>
      <w:r w:rsidRPr="0047751C">
        <w:rPr>
          <w:b/>
          <w:bCs/>
          <w:sz w:val="24"/>
          <w:szCs w:val="24"/>
        </w:rPr>
        <w:t>)</w:t>
      </w:r>
    </w:p>
    <w:p w14:paraId="3A36009F" w14:textId="77777777" w:rsidR="00654C5B" w:rsidRDefault="00654C5B" w:rsidP="00654C5B">
      <w:pPr>
        <w:pStyle w:val="BodyText"/>
        <w:rPr>
          <w:lang w:val="en-IE" w:eastAsia="en-IE"/>
        </w:rPr>
      </w:pPr>
      <w:r>
        <w:rPr>
          <w:lang w:val="en-IE" w:eastAsia="en-IE"/>
        </w:rPr>
        <w:t>The</w:t>
      </w:r>
      <w:r w:rsidRPr="008C492D">
        <w:rPr>
          <w:lang w:val="en-IE" w:eastAsia="en-IE"/>
        </w:rPr>
        <w:t xml:space="preserve"> University of Galway and University of Limerick have existing photographic survey</w:t>
      </w:r>
      <w:r>
        <w:rPr>
          <w:lang w:val="en-IE" w:eastAsia="en-IE"/>
        </w:rPr>
        <w:t>s</w:t>
      </w:r>
      <w:r w:rsidRPr="008C492D">
        <w:rPr>
          <w:lang w:val="en-IE" w:eastAsia="en-IE"/>
        </w:rPr>
        <w:t xml:space="preserve"> which </w:t>
      </w:r>
      <w:r>
        <w:rPr>
          <w:lang w:val="en-IE" w:eastAsia="en-IE"/>
        </w:rPr>
        <w:t>will</w:t>
      </w:r>
      <w:r w:rsidRPr="008C492D">
        <w:rPr>
          <w:lang w:val="en-IE" w:eastAsia="en-IE"/>
        </w:rPr>
        <w:t xml:space="preserve"> need to be updated</w:t>
      </w:r>
      <w:r>
        <w:rPr>
          <w:lang w:val="en-IE" w:eastAsia="en-IE"/>
        </w:rPr>
        <w:t xml:space="preserve"> on an annual basis.</w:t>
      </w:r>
    </w:p>
    <w:p w14:paraId="44C29B51" w14:textId="77777777" w:rsidR="00654C5B" w:rsidRDefault="00654C5B" w:rsidP="00654C5B">
      <w:pPr>
        <w:pStyle w:val="BodyText"/>
        <w:rPr>
          <w:lang w:val="en-IE" w:eastAsia="en-IE"/>
        </w:rPr>
      </w:pPr>
      <w:r>
        <w:rPr>
          <w:lang w:val="en-IE" w:eastAsia="en-IE"/>
        </w:rPr>
        <w:t xml:space="preserve">A reinstatement portfolio with baseline costs has previously been prepared for the University of Galway and the University of Limerick, </w:t>
      </w:r>
      <w:r w:rsidRPr="00CA013A">
        <w:rPr>
          <w:lang w:val="en-IE" w:eastAsia="en-IE"/>
        </w:rPr>
        <w:t>these baseline costs will need to be updated on an annual basis.</w:t>
      </w:r>
    </w:p>
    <w:p w14:paraId="1F0B3AB4" w14:textId="78CD5E2B" w:rsidR="00654C5B" w:rsidRPr="00E3467E" w:rsidRDefault="00654C5B" w:rsidP="00654C5B">
      <w:pPr>
        <w:pStyle w:val="BodyText"/>
        <w:rPr>
          <w:b/>
          <w:bCs/>
        </w:rPr>
      </w:pPr>
      <w:r>
        <w:rPr>
          <w:lang w:val="en-IE" w:eastAsia="en-IE"/>
        </w:rPr>
        <w:t>Site visits will be required annually to update both the photographic survey and the reinstatement cost portfolio</w:t>
      </w:r>
    </w:p>
    <w:p w14:paraId="61337BC7" w14:textId="0CD1EC39" w:rsidR="00B93B95" w:rsidRPr="00654C5B" w:rsidRDefault="00B93B95" w:rsidP="00B93B95">
      <w:pPr>
        <w:pStyle w:val="Heading2"/>
        <w:numPr>
          <w:ilvl w:val="1"/>
          <w:numId w:val="28"/>
        </w:numPr>
        <w:ind w:left="709" w:hanging="709"/>
      </w:pPr>
      <w:bookmarkStart w:id="64" w:name="_Toc196294365"/>
      <w:r w:rsidRPr="00654C5B">
        <w:t>Base Requirements</w:t>
      </w:r>
      <w:bookmarkEnd w:id="64"/>
    </w:p>
    <w:p w14:paraId="1EAEDEA5" w14:textId="1E50EAF3" w:rsidR="00B93B95" w:rsidRPr="00B93B95" w:rsidRDefault="007B6C79" w:rsidP="00B93B95">
      <w:pPr>
        <w:pStyle w:val="BodyText"/>
        <w:rPr>
          <w:lang w:val="en-IE" w:eastAsia="en-IE"/>
        </w:rPr>
      </w:pPr>
      <w:r w:rsidRPr="00B93B95">
        <w:rPr>
          <w:lang w:val="en-IE" w:eastAsia="en-IE"/>
        </w:rPr>
        <w:t>To</w:t>
      </w:r>
      <w:r w:rsidR="00B93B95" w:rsidRPr="00B93B95">
        <w:rPr>
          <w:lang w:val="en-IE" w:eastAsia="en-IE"/>
        </w:rPr>
        <w:t xml:space="preserve"> ensure value for money and deliver upon the annual required Reinstatement Cost the following scope of service is proposed:</w:t>
      </w:r>
    </w:p>
    <w:p w14:paraId="1CD5747F" w14:textId="687F0052" w:rsidR="004110F4" w:rsidRPr="0047751C" w:rsidRDefault="00F5195D" w:rsidP="004110F4">
      <w:pPr>
        <w:pStyle w:val="BodyText"/>
        <w:rPr>
          <w:b/>
          <w:bCs/>
          <w:sz w:val="24"/>
          <w:szCs w:val="24"/>
        </w:rPr>
      </w:pPr>
      <w:r>
        <w:rPr>
          <w:b/>
          <w:bCs/>
          <w:sz w:val="24"/>
          <w:szCs w:val="24"/>
        </w:rPr>
        <w:t xml:space="preserve">Base Requirements for </w:t>
      </w:r>
      <w:r w:rsidR="004110F4" w:rsidRPr="0047751C">
        <w:rPr>
          <w:b/>
          <w:bCs/>
          <w:sz w:val="24"/>
          <w:szCs w:val="24"/>
        </w:rPr>
        <w:t xml:space="preserve">Lot </w:t>
      </w:r>
      <w:r w:rsidR="007B6C79" w:rsidRPr="0047751C">
        <w:rPr>
          <w:b/>
          <w:bCs/>
          <w:sz w:val="24"/>
          <w:szCs w:val="24"/>
        </w:rPr>
        <w:t>1</w:t>
      </w:r>
      <w:r w:rsidR="004110F4" w:rsidRPr="0047751C">
        <w:rPr>
          <w:b/>
          <w:bCs/>
          <w:sz w:val="24"/>
          <w:szCs w:val="24"/>
        </w:rPr>
        <w:t xml:space="preserve"> (University College Dublin)</w:t>
      </w:r>
    </w:p>
    <w:p w14:paraId="35A029F9" w14:textId="2B11A4A6" w:rsidR="00B93B95" w:rsidRPr="00B93B95" w:rsidRDefault="00B93B95" w:rsidP="00B93B95">
      <w:pPr>
        <w:pStyle w:val="BodyText"/>
        <w:rPr>
          <w:b/>
          <w:lang w:val="en-IE" w:eastAsia="en-IE"/>
        </w:rPr>
      </w:pPr>
      <w:r w:rsidRPr="00B93B95">
        <w:rPr>
          <w:b/>
          <w:lang w:val="en-IE" w:eastAsia="en-IE"/>
        </w:rPr>
        <w:t>Year 1</w:t>
      </w:r>
    </w:p>
    <w:p w14:paraId="5F099167" w14:textId="30D373DC" w:rsidR="00DC25C3" w:rsidRDefault="00B93B95" w:rsidP="00B93B95">
      <w:pPr>
        <w:pStyle w:val="BodyText"/>
        <w:rPr>
          <w:lang w:val="en-IE" w:eastAsia="en-IE"/>
        </w:rPr>
      </w:pPr>
      <w:r w:rsidRPr="00DC25C3">
        <w:rPr>
          <w:b/>
          <w:bCs/>
          <w:lang w:val="en-IE" w:eastAsia="en-IE"/>
        </w:rPr>
        <w:t>Site Visit</w:t>
      </w:r>
    </w:p>
    <w:p w14:paraId="5C76FA9D" w14:textId="55DB744D" w:rsidR="00B93B95" w:rsidRPr="00B93B95" w:rsidRDefault="00B93B95" w:rsidP="00B93B95">
      <w:pPr>
        <w:pStyle w:val="BodyText"/>
        <w:rPr>
          <w:lang w:val="en-IE" w:eastAsia="en-IE"/>
        </w:rPr>
      </w:pPr>
      <w:r w:rsidRPr="00B93B95">
        <w:rPr>
          <w:lang w:val="en-IE" w:eastAsia="en-IE"/>
        </w:rPr>
        <w:t>The Selected tenderer is required to visit each of the University Properties, conduct a visual inspection to gain a detailed understanding of the properties.</w:t>
      </w:r>
    </w:p>
    <w:p w14:paraId="47983616" w14:textId="77777777" w:rsidR="002E681F" w:rsidRDefault="002E681F" w:rsidP="00B93B95">
      <w:pPr>
        <w:pStyle w:val="BodyText"/>
        <w:rPr>
          <w:b/>
          <w:bCs/>
          <w:lang w:val="en-IE" w:eastAsia="en-IE"/>
        </w:rPr>
      </w:pPr>
    </w:p>
    <w:p w14:paraId="796EBDE9" w14:textId="1150413D" w:rsidR="00DC25C3" w:rsidRDefault="00B93B95" w:rsidP="00B93B95">
      <w:pPr>
        <w:pStyle w:val="BodyText"/>
        <w:rPr>
          <w:lang w:val="en-IE" w:eastAsia="en-IE"/>
        </w:rPr>
      </w:pPr>
      <w:r w:rsidRPr="00DC25C3">
        <w:rPr>
          <w:b/>
          <w:bCs/>
          <w:lang w:val="en-IE" w:eastAsia="en-IE"/>
        </w:rPr>
        <w:lastRenderedPageBreak/>
        <w:t xml:space="preserve">Reinstatement </w:t>
      </w:r>
      <w:r w:rsidR="00835FEC">
        <w:rPr>
          <w:b/>
          <w:bCs/>
          <w:lang w:val="en-IE" w:eastAsia="en-IE"/>
        </w:rPr>
        <w:t>c</w:t>
      </w:r>
      <w:r w:rsidRPr="00DC25C3">
        <w:rPr>
          <w:b/>
          <w:bCs/>
          <w:lang w:val="en-IE" w:eastAsia="en-IE"/>
        </w:rPr>
        <w:t>ost</w:t>
      </w:r>
    </w:p>
    <w:p w14:paraId="576481B9" w14:textId="2B8B9EBD" w:rsidR="00B93B95" w:rsidRDefault="00B93B95" w:rsidP="00B93B95">
      <w:pPr>
        <w:pStyle w:val="BodyText"/>
        <w:rPr>
          <w:lang w:val="en-IE" w:eastAsia="en-IE"/>
        </w:rPr>
      </w:pPr>
      <w:r w:rsidRPr="00B93B95">
        <w:rPr>
          <w:lang w:val="en-IE" w:eastAsia="en-IE"/>
        </w:rPr>
        <w:t xml:space="preserve">Detailed market analysis and preparation of baseline Reinstatement Cost. The baseline information will be prepared on a </w:t>
      </w:r>
      <w:r w:rsidR="00845C56" w:rsidRPr="00B93B95">
        <w:rPr>
          <w:lang w:val="en-IE" w:eastAsia="en-IE"/>
        </w:rPr>
        <w:t>building-by-building</w:t>
      </w:r>
      <w:r w:rsidRPr="00B93B95">
        <w:rPr>
          <w:lang w:val="en-IE" w:eastAsia="en-IE"/>
        </w:rPr>
        <w:t xml:space="preserve"> basis. Each properties reinstatement cost should be broken down identifying appropriate make-up of the total reinstatement value of each property.</w:t>
      </w:r>
    </w:p>
    <w:p w14:paraId="64AE5291" w14:textId="76DB03B4" w:rsidR="00C040D1" w:rsidRPr="00C040D1" w:rsidRDefault="00C040D1" w:rsidP="00B93B95">
      <w:pPr>
        <w:pStyle w:val="BodyText"/>
        <w:rPr>
          <w:b/>
          <w:bCs/>
          <w:lang w:val="en-IE" w:eastAsia="en-IE"/>
        </w:rPr>
      </w:pPr>
      <w:r w:rsidRPr="00C040D1">
        <w:rPr>
          <w:b/>
          <w:bCs/>
          <w:lang w:val="en-IE" w:eastAsia="en-IE"/>
        </w:rPr>
        <w:t>Benchmarking</w:t>
      </w:r>
    </w:p>
    <w:p w14:paraId="45D1701F" w14:textId="567F1751" w:rsidR="00B93B95" w:rsidRPr="00B93B95" w:rsidRDefault="00B93B95" w:rsidP="00B93B95">
      <w:pPr>
        <w:pStyle w:val="BodyText"/>
        <w:rPr>
          <w:lang w:val="en-IE" w:eastAsia="en-IE"/>
        </w:rPr>
      </w:pPr>
      <w:r w:rsidRPr="00B93B95">
        <w:rPr>
          <w:lang w:val="en-IE" w:eastAsia="en-IE"/>
        </w:rPr>
        <w:t>In year 1,</w:t>
      </w:r>
      <w:r w:rsidR="006A0069">
        <w:rPr>
          <w:lang w:val="en-IE" w:eastAsia="en-IE"/>
        </w:rPr>
        <w:t xml:space="preserve"> </w:t>
      </w:r>
      <w:r w:rsidRPr="00B93B95">
        <w:rPr>
          <w:lang w:val="en-IE" w:eastAsia="en-IE"/>
        </w:rPr>
        <w:t>a cross sample of ten (10) large, complex, heavily serviced, and special properties, agreed with the Contracting Authority should be valued using an elemental cost plan structure. This exercise will provide a current and relevant analysis of various building types such as teaching, high tech, research, administration, protected etc. This analysis will support the valuation methodology should include a rate per sqm, then applied to the relevant floor area for buildings within the portfolio.</w:t>
      </w:r>
    </w:p>
    <w:p w14:paraId="7370CB1C" w14:textId="52DFFC98" w:rsidR="00D377B6" w:rsidRDefault="00B93B95" w:rsidP="00B93B95">
      <w:pPr>
        <w:pStyle w:val="BodyText"/>
        <w:rPr>
          <w:lang w:val="en-IE" w:eastAsia="en-IE"/>
        </w:rPr>
      </w:pPr>
      <w:r w:rsidRPr="1E2A4048">
        <w:rPr>
          <w:lang w:val="en-IE" w:eastAsia="en-IE"/>
        </w:rPr>
        <w:t>The Reinstatement Cost will be prepared in industry appropriate report format that will be acceptable to insurers together with a soft copy in excel.</w:t>
      </w:r>
    </w:p>
    <w:p w14:paraId="686CCA05" w14:textId="4CCB2CB6" w:rsidR="007D73A3" w:rsidRDefault="007D73A3" w:rsidP="007D73A3">
      <w:pPr>
        <w:pStyle w:val="BodyText"/>
        <w:rPr>
          <w:lang w:val="en-IE" w:eastAsia="en-IE"/>
        </w:rPr>
      </w:pPr>
      <w:r w:rsidRPr="00DC25C3">
        <w:rPr>
          <w:b/>
          <w:bCs/>
          <w:lang w:val="en-IE" w:eastAsia="en-IE"/>
        </w:rPr>
        <w:t>Photographic Survey</w:t>
      </w:r>
      <w:r>
        <w:rPr>
          <w:b/>
          <w:bCs/>
          <w:lang w:val="en-IE" w:eastAsia="en-IE"/>
        </w:rPr>
        <w:t xml:space="preserve"> - Option</w:t>
      </w:r>
    </w:p>
    <w:p w14:paraId="783CA81B" w14:textId="335DD31B" w:rsidR="007D73A3" w:rsidRPr="00B93B95" w:rsidRDefault="00864390" w:rsidP="00B93B95">
      <w:pPr>
        <w:pStyle w:val="BodyText"/>
        <w:rPr>
          <w:lang w:val="en-IE" w:eastAsia="en-IE"/>
        </w:rPr>
      </w:pPr>
      <w:r w:rsidRPr="00864390">
        <w:rPr>
          <w:lang w:val="en-IE" w:eastAsia="en-IE"/>
        </w:rPr>
        <w:t>The selected tenderer may be required, as part of the Site Visit, to prepare a photographic survey of each property to record and identify relevant property details. The Photographic Survey can only be drawn down under the direction of the Employer and only with the Employer's prior agreement before any costs can be incurred.</w:t>
      </w:r>
    </w:p>
    <w:p w14:paraId="0A38CC31" w14:textId="20828ECE" w:rsidR="00B93B95" w:rsidRPr="00B93B95" w:rsidRDefault="00B93B95" w:rsidP="00B93B95">
      <w:pPr>
        <w:pStyle w:val="BodyText"/>
        <w:rPr>
          <w:b/>
          <w:lang w:val="en-IE" w:eastAsia="en-IE"/>
        </w:rPr>
      </w:pPr>
      <w:r w:rsidRPr="00654C5B">
        <w:rPr>
          <w:b/>
          <w:lang w:val="en-IE" w:eastAsia="en-IE"/>
        </w:rPr>
        <w:t>Year 2</w:t>
      </w:r>
      <w:r w:rsidR="00CE3ACA" w:rsidRPr="00654C5B">
        <w:rPr>
          <w:b/>
          <w:lang w:val="en-IE" w:eastAsia="en-IE"/>
        </w:rPr>
        <w:t xml:space="preserve"> </w:t>
      </w:r>
    </w:p>
    <w:p w14:paraId="5E6A839C" w14:textId="4832C5CA" w:rsidR="00096DBA" w:rsidRDefault="00835FEC" w:rsidP="00B93B95">
      <w:pPr>
        <w:pStyle w:val="BodyText"/>
        <w:rPr>
          <w:lang w:val="en-IE" w:eastAsia="en-IE"/>
        </w:rPr>
      </w:pPr>
      <w:r>
        <w:rPr>
          <w:b/>
          <w:bCs/>
          <w:lang w:val="en-IE" w:eastAsia="en-IE"/>
        </w:rPr>
        <w:t>Reinstatement cost</w:t>
      </w:r>
    </w:p>
    <w:p w14:paraId="3FFE1C0A" w14:textId="63D50151" w:rsidR="00B93B95" w:rsidRDefault="00B93B95" w:rsidP="00B93B95">
      <w:pPr>
        <w:pStyle w:val="BodyText"/>
        <w:rPr>
          <w:lang w:val="en-IE" w:eastAsia="en-IE"/>
        </w:rPr>
      </w:pPr>
      <w:r w:rsidRPr="00B93B95">
        <w:rPr>
          <w:lang w:val="en-IE" w:eastAsia="en-IE"/>
        </w:rPr>
        <w:t>The Selected tenderer will be required to provide a desktop update to the baseline Reinstatement Cost. The update will take account of any industry inflation changes as appropriate, future development risk, changes in legislation or regulations that will impact development costs and consequently reinstatement values.</w:t>
      </w:r>
    </w:p>
    <w:p w14:paraId="56A8D5BE" w14:textId="54E0856E" w:rsidR="0065558D" w:rsidRPr="0065558D" w:rsidRDefault="0065558D" w:rsidP="00B93B95">
      <w:pPr>
        <w:pStyle w:val="BodyText"/>
        <w:rPr>
          <w:b/>
          <w:bCs/>
          <w:lang w:val="en-IE" w:eastAsia="en-IE"/>
        </w:rPr>
      </w:pPr>
      <w:r w:rsidRPr="0065558D">
        <w:rPr>
          <w:b/>
          <w:bCs/>
          <w:lang w:val="en-IE" w:eastAsia="en-IE"/>
        </w:rPr>
        <w:t>Benchmarking</w:t>
      </w:r>
    </w:p>
    <w:p w14:paraId="128673DE" w14:textId="79533A28" w:rsidR="00B93B95" w:rsidRPr="00B93B95" w:rsidRDefault="00B93B95" w:rsidP="00B93B95">
      <w:pPr>
        <w:pStyle w:val="BodyText"/>
        <w:rPr>
          <w:lang w:val="en-IE" w:eastAsia="en-IE"/>
        </w:rPr>
      </w:pPr>
      <w:r w:rsidRPr="00B93B95">
        <w:rPr>
          <w:lang w:val="en-IE" w:eastAsia="en-IE"/>
        </w:rPr>
        <w:t>In year 2</w:t>
      </w:r>
      <w:r w:rsidR="00096DBA">
        <w:rPr>
          <w:lang w:val="en-IE" w:eastAsia="en-IE"/>
        </w:rPr>
        <w:t xml:space="preserve">, </w:t>
      </w:r>
      <w:r w:rsidRPr="00B93B95">
        <w:rPr>
          <w:lang w:val="en-IE" w:eastAsia="en-IE"/>
        </w:rPr>
        <w:t>an additional cross sample of five (5) large, complex, heavily serviced, and special properties, agreed with the Contracting Authority should be valued using an elemental cost plan structure. This exercise will provide a current and relevant analysis of various building types such as teaching, high tech, research, administration, protected etc. This analysis will support the valuation methodology should include a rate per sqm, then applied to the relevant floor area for buildings within the portfolio.</w:t>
      </w:r>
    </w:p>
    <w:p w14:paraId="4B17C305" w14:textId="0E67D637" w:rsidR="00B93B95" w:rsidRPr="00B93B95" w:rsidRDefault="00B93B95" w:rsidP="00B93B95">
      <w:pPr>
        <w:pStyle w:val="BodyText"/>
        <w:rPr>
          <w:b/>
          <w:lang w:val="en-IE" w:eastAsia="en-IE"/>
        </w:rPr>
      </w:pPr>
      <w:r w:rsidRPr="00B93B95">
        <w:rPr>
          <w:b/>
          <w:lang w:val="en-IE" w:eastAsia="en-IE"/>
        </w:rPr>
        <w:t>Year 3 to 5</w:t>
      </w:r>
    </w:p>
    <w:p w14:paraId="69A17992" w14:textId="77777777" w:rsidR="00B93B95" w:rsidRPr="00B93B95" w:rsidRDefault="00B93B95" w:rsidP="00B93B95">
      <w:pPr>
        <w:pStyle w:val="BodyText"/>
        <w:rPr>
          <w:lang w:val="en-IE" w:eastAsia="en-IE"/>
        </w:rPr>
      </w:pPr>
      <w:r w:rsidRPr="00B93B95">
        <w:rPr>
          <w:lang w:val="en-IE" w:eastAsia="en-IE"/>
        </w:rPr>
        <w:t>The years 3 through to 5 of the agreement will involve a blended approach to the preparation of the annual Reinstatement Cost.</w:t>
      </w:r>
    </w:p>
    <w:p w14:paraId="2C62FE77" w14:textId="41685BD4" w:rsidR="0071419C" w:rsidRPr="0071419C" w:rsidRDefault="0071419C" w:rsidP="00B93B95">
      <w:pPr>
        <w:pStyle w:val="BodyText"/>
        <w:rPr>
          <w:b/>
          <w:bCs/>
          <w:lang w:val="en-IE" w:eastAsia="en-IE"/>
        </w:rPr>
      </w:pPr>
      <w:r w:rsidRPr="0071419C">
        <w:rPr>
          <w:b/>
          <w:bCs/>
          <w:lang w:val="en-IE" w:eastAsia="en-IE"/>
        </w:rPr>
        <w:t xml:space="preserve">Site </w:t>
      </w:r>
      <w:r>
        <w:rPr>
          <w:b/>
          <w:bCs/>
          <w:lang w:val="en-IE" w:eastAsia="en-IE"/>
        </w:rPr>
        <w:t>v</w:t>
      </w:r>
      <w:r w:rsidRPr="0071419C">
        <w:rPr>
          <w:b/>
          <w:bCs/>
          <w:lang w:val="en-IE" w:eastAsia="en-IE"/>
        </w:rPr>
        <w:t>isit</w:t>
      </w:r>
      <w:r w:rsidR="00E23147">
        <w:rPr>
          <w:b/>
          <w:bCs/>
          <w:lang w:val="en-IE" w:eastAsia="en-IE"/>
        </w:rPr>
        <w:t xml:space="preserve"> and photographic survey</w:t>
      </w:r>
    </w:p>
    <w:p w14:paraId="2ABBE6AD" w14:textId="77777777" w:rsidR="00217A46" w:rsidRDefault="00B93B95" w:rsidP="00B93B95">
      <w:pPr>
        <w:pStyle w:val="BodyText"/>
        <w:rPr>
          <w:lang w:val="en-IE" w:eastAsia="en-IE"/>
        </w:rPr>
      </w:pPr>
      <w:r w:rsidRPr="00B93B95">
        <w:rPr>
          <w:lang w:val="en-IE" w:eastAsia="en-IE"/>
        </w:rPr>
        <w:t xml:space="preserve">It is proposed that a Site Visit as defined in Year 1 will be conducted at approximately 20% of the estate property. The visits and property selected will be agreed with the Contracting Authority. </w:t>
      </w:r>
      <w:r w:rsidR="00217A46" w:rsidRPr="00217A46">
        <w:rPr>
          <w:lang w:val="en-IE" w:eastAsia="en-IE"/>
        </w:rPr>
        <w:t>As part of the Site Visit, the Photographic Surveys may need to be updated. The Photographic Survey can only be drawn down under the direction of the Employer and only with the Employer's prior agreement before any costs can be incurred.</w:t>
      </w:r>
    </w:p>
    <w:p w14:paraId="432A68B1" w14:textId="77777777" w:rsidR="00217A46" w:rsidRDefault="00217A46" w:rsidP="00B93B95">
      <w:pPr>
        <w:pStyle w:val="BodyText"/>
        <w:rPr>
          <w:lang w:val="en-IE" w:eastAsia="en-IE"/>
        </w:rPr>
      </w:pPr>
    </w:p>
    <w:p w14:paraId="42A7BF16" w14:textId="4167B8D4" w:rsidR="001B7C72" w:rsidRDefault="001B7C72" w:rsidP="00B93B95">
      <w:pPr>
        <w:pStyle w:val="BodyText"/>
        <w:rPr>
          <w:b/>
          <w:bCs/>
          <w:lang w:val="en-IE" w:eastAsia="en-IE"/>
        </w:rPr>
      </w:pPr>
      <w:r>
        <w:rPr>
          <w:b/>
          <w:bCs/>
          <w:lang w:val="en-IE" w:eastAsia="en-IE"/>
        </w:rPr>
        <w:lastRenderedPageBreak/>
        <w:t>Reinstatement cost</w:t>
      </w:r>
    </w:p>
    <w:p w14:paraId="4BF3BEA1" w14:textId="77777777" w:rsidR="001B7C72" w:rsidRDefault="001B7C72" w:rsidP="001B7C72">
      <w:pPr>
        <w:pStyle w:val="BodyText"/>
        <w:rPr>
          <w:lang w:val="en-IE" w:eastAsia="en-IE"/>
        </w:rPr>
      </w:pPr>
      <w:r w:rsidRPr="00B93B95">
        <w:rPr>
          <w:lang w:val="en-IE" w:eastAsia="en-IE"/>
        </w:rPr>
        <w:t>The Selected tenderer will be required to provide a desktop update to the baseline Reinstatement Cost. The update will take account of any industry inflation changes as appropriate, future development risk, changes in legislation or regulations that will impact development costs and consequently reinstatement values.</w:t>
      </w:r>
    </w:p>
    <w:p w14:paraId="1224F936" w14:textId="20499A0E" w:rsidR="0071419C" w:rsidRPr="0071419C" w:rsidRDefault="0071419C" w:rsidP="00B93B95">
      <w:pPr>
        <w:pStyle w:val="BodyText"/>
        <w:rPr>
          <w:b/>
          <w:bCs/>
          <w:lang w:val="en-IE" w:eastAsia="en-IE"/>
        </w:rPr>
      </w:pPr>
      <w:r w:rsidRPr="0071419C">
        <w:rPr>
          <w:b/>
          <w:bCs/>
          <w:lang w:val="en-IE" w:eastAsia="en-IE"/>
        </w:rPr>
        <w:t>Benchmarking</w:t>
      </w:r>
    </w:p>
    <w:p w14:paraId="0DD541C6" w14:textId="29E9082F" w:rsidR="00B93B95" w:rsidRPr="00B93B95" w:rsidRDefault="00B93B95" w:rsidP="00B93B95">
      <w:pPr>
        <w:pStyle w:val="BodyText"/>
        <w:rPr>
          <w:lang w:val="en-IE" w:eastAsia="en-IE"/>
        </w:rPr>
      </w:pPr>
      <w:r w:rsidRPr="00B93B95">
        <w:rPr>
          <w:lang w:val="en-IE" w:eastAsia="en-IE"/>
        </w:rPr>
        <w:t xml:space="preserve">In year 3 to </w:t>
      </w:r>
      <w:r w:rsidRPr="008C492D">
        <w:rPr>
          <w:lang w:val="en-IE" w:eastAsia="en-IE"/>
        </w:rPr>
        <w:t>5, an</w:t>
      </w:r>
      <w:r w:rsidRPr="00B93B95">
        <w:rPr>
          <w:lang w:val="en-IE" w:eastAsia="en-IE"/>
        </w:rPr>
        <w:t xml:space="preserve"> additional cross sample of five (5) large, complex, heavily serviced, and special properties, agreed with the Contracting Authority should be valued using an elemental cost plan structure. This exercise will provide a current and relevant analysis of various building types such as teaching, high tech, research, administration, protected etc. This analysis will support the valuation methodology should include a rate per sqm, then applied to the relevant floor area for buildings within the portfolio.</w:t>
      </w:r>
    </w:p>
    <w:p w14:paraId="4948F703" w14:textId="7BA83E1E" w:rsidR="00B93B95" w:rsidRPr="00B93B95" w:rsidRDefault="001B7C72" w:rsidP="00B93B95">
      <w:pPr>
        <w:pStyle w:val="BodyText"/>
        <w:rPr>
          <w:lang w:val="en-IE" w:eastAsia="en-IE"/>
        </w:rPr>
      </w:pPr>
      <w:r w:rsidRPr="001B7C72">
        <w:rPr>
          <w:b/>
          <w:bCs/>
          <w:lang w:val="en-IE" w:eastAsia="en-IE"/>
        </w:rPr>
        <w:t>Note</w:t>
      </w:r>
      <w:r>
        <w:rPr>
          <w:b/>
          <w:bCs/>
          <w:lang w:val="en-IE" w:eastAsia="en-IE"/>
        </w:rPr>
        <w:t xml:space="preserve">: </w:t>
      </w:r>
      <w:r w:rsidR="00B93B95" w:rsidRPr="00B93B95">
        <w:rPr>
          <w:lang w:val="en-IE" w:eastAsia="en-IE"/>
        </w:rPr>
        <w:t xml:space="preserve">It is important to note that some properties are recorded in a grouped manner for example the University hosts several residential villages which have </w:t>
      </w:r>
      <w:r w:rsidR="007B6C79" w:rsidRPr="00B93B95">
        <w:rPr>
          <w:lang w:val="en-IE" w:eastAsia="en-IE"/>
        </w:rPr>
        <w:t>several</w:t>
      </w:r>
      <w:r w:rsidR="00B93B95" w:rsidRPr="00B93B95">
        <w:rPr>
          <w:lang w:val="en-IE" w:eastAsia="en-IE"/>
        </w:rPr>
        <w:t xml:space="preserve"> individual properties or blocks, however, they may be recorded as a single building unit on the property index. Conversely the University have a number of properties that have undergone extensions over the past 40 plus years. Significant extensions are recorded as separate building line items on the property index to distinguish the different characteristics.</w:t>
      </w:r>
    </w:p>
    <w:p w14:paraId="6502E96D" w14:textId="00BB98F7" w:rsidR="001B7C72" w:rsidRPr="001B7C72" w:rsidRDefault="001B7C72" w:rsidP="00B93B95">
      <w:pPr>
        <w:pStyle w:val="BodyText"/>
        <w:rPr>
          <w:b/>
          <w:bCs/>
          <w:lang w:val="en-IE" w:eastAsia="en-IE"/>
        </w:rPr>
      </w:pPr>
      <w:r w:rsidRPr="001B7C72">
        <w:rPr>
          <w:b/>
          <w:bCs/>
          <w:lang w:val="en-IE" w:eastAsia="en-IE"/>
        </w:rPr>
        <w:t>Year 5</w:t>
      </w:r>
    </w:p>
    <w:p w14:paraId="0F38FCC5" w14:textId="58AFA2BC" w:rsidR="00B93B95" w:rsidRPr="00B93B95" w:rsidRDefault="00B93B95" w:rsidP="00B93B95">
      <w:pPr>
        <w:pStyle w:val="BodyText"/>
        <w:rPr>
          <w:lang w:val="en-IE" w:eastAsia="en-IE"/>
        </w:rPr>
      </w:pPr>
      <w:r w:rsidRPr="00B93B95">
        <w:rPr>
          <w:lang w:val="en-IE" w:eastAsia="en-IE"/>
        </w:rPr>
        <w:t>Upon conclusion of the agreement and following the production of the Reinstatement Cost for year 5, the Selected Tenderer will provide the University will all relevant documentation prepared and delivered during the course of the engagement in soft copy recognising the University may use this information to inform future work in this area.</w:t>
      </w:r>
    </w:p>
    <w:p w14:paraId="7B7868FE" w14:textId="62CF6DE9" w:rsidR="00B93B95" w:rsidRDefault="00B93B95" w:rsidP="00B93B95">
      <w:pPr>
        <w:pStyle w:val="BodyText"/>
        <w:rPr>
          <w:lang w:val="en-IE" w:eastAsia="en-IE"/>
        </w:rPr>
      </w:pPr>
      <w:r w:rsidRPr="00B93B95">
        <w:rPr>
          <w:b/>
          <w:lang w:val="en-IE" w:eastAsia="en-IE"/>
        </w:rPr>
        <w:t>Note</w:t>
      </w:r>
      <w:r w:rsidRPr="00B93B95">
        <w:rPr>
          <w:lang w:val="en-IE" w:eastAsia="en-IE"/>
        </w:rPr>
        <w:t>: The Contracting Authority reserves the right to amend the scope of works during the life of the project</w:t>
      </w:r>
    </w:p>
    <w:p w14:paraId="14D6F528" w14:textId="71CA5A25" w:rsidR="00422D17" w:rsidRPr="0047751C" w:rsidRDefault="00F5195D" w:rsidP="00422D17">
      <w:pPr>
        <w:pStyle w:val="BodyText"/>
        <w:rPr>
          <w:b/>
          <w:bCs/>
          <w:sz w:val="24"/>
          <w:szCs w:val="24"/>
        </w:rPr>
      </w:pPr>
      <w:r>
        <w:rPr>
          <w:b/>
          <w:bCs/>
          <w:sz w:val="24"/>
          <w:szCs w:val="24"/>
        </w:rPr>
        <w:t xml:space="preserve">Requirements for </w:t>
      </w:r>
      <w:r w:rsidR="00422D17" w:rsidRPr="0047751C">
        <w:rPr>
          <w:b/>
          <w:bCs/>
          <w:sz w:val="24"/>
          <w:szCs w:val="24"/>
        </w:rPr>
        <w:t xml:space="preserve">Lot </w:t>
      </w:r>
      <w:r w:rsidR="0047751C" w:rsidRPr="0047751C">
        <w:rPr>
          <w:b/>
          <w:bCs/>
          <w:sz w:val="24"/>
          <w:szCs w:val="24"/>
        </w:rPr>
        <w:t>2</w:t>
      </w:r>
      <w:r w:rsidR="00422D17" w:rsidRPr="0047751C">
        <w:rPr>
          <w:b/>
          <w:bCs/>
          <w:sz w:val="24"/>
          <w:szCs w:val="24"/>
        </w:rPr>
        <w:t xml:space="preserve"> and </w:t>
      </w:r>
      <w:r w:rsidR="0047751C" w:rsidRPr="0047751C">
        <w:rPr>
          <w:b/>
          <w:bCs/>
          <w:sz w:val="24"/>
          <w:szCs w:val="24"/>
        </w:rPr>
        <w:t>3</w:t>
      </w:r>
      <w:r w:rsidR="00422D17" w:rsidRPr="0047751C">
        <w:rPr>
          <w:b/>
          <w:bCs/>
          <w:sz w:val="24"/>
          <w:szCs w:val="24"/>
        </w:rPr>
        <w:t xml:space="preserve"> (University of Limerick </w:t>
      </w:r>
      <w:r>
        <w:rPr>
          <w:b/>
          <w:bCs/>
          <w:sz w:val="24"/>
          <w:szCs w:val="24"/>
        </w:rPr>
        <w:t xml:space="preserve">and </w:t>
      </w:r>
      <w:r w:rsidR="00422D17" w:rsidRPr="0047751C">
        <w:rPr>
          <w:b/>
          <w:bCs/>
          <w:sz w:val="24"/>
          <w:szCs w:val="24"/>
        </w:rPr>
        <w:t>University of Galway )</w:t>
      </w:r>
    </w:p>
    <w:p w14:paraId="146F086F" w14:textId="77777777" w:rsidR="00422D17" w:rsidRDefault="00422D17" w:rsidP="00422D17">
      <w:pPr>
        <w:pStyle w:val="BodyText"/>
        <w:rPr>
          <w:lang w:val="en-IE" w:eastAsia="en-IE"/>
        </w:rPr>
      </w:pPr>
      <w:r>
        <w:rPr>
          <w:lang w:val="en-IE" w:eastAsia="en-IE"/>
        </w:rPr>
        <w:t xml:space="preserve">A reinstatement portfolio with baseline costs has previously been prepared for the University of Galway and the University of Limerick, </w:t>
      </w:r>
      <w:r w:rsidRPr="00CA013A">
        <w:rPr>
          <w:lang w:val="en-IE" w:eastAsia="en-IE"/>
        </w:rPr>
        <w:t>these baseline costs will need to be updated on an annual basis.</w:t>
      </w:r>
    </w:p>
    <w:p w14:paraId="02A33AF5" w14:textId="77777777" w:rsidR="00422D17" w:rsidRPr="00E3467E" w:rsidRDefault="00422D17" w:rsidP="00422D17">
      <w:pPr>
        <w:pStyle w:val="BodyText"/>
        <w:rPr>
          <w:b/>
          <w:bCs/>
        </w:rPr>
      </w:pPr>
      <w:r>
        <w:rPr>
          <w:lang w:val="en-IE" w:eastAsia="en-IE"/>
        </w:rPr>
        <w:t>Site visits will be required annually to update both the photographic survey and the reinstatement cost portfolio</w:t>
      </w:r>
    </w:p>
    <w:p w14:paraId="50625163" w14:textId="1CAEF60A" w:rsidR="00CA013A" w:rsidRPr="0099045B" w:rsidRDefault="00CA013A" w:rsidP="008C492D">
      <w:pPr>
        <w:pStyle w:val="BodyText"/>
        <w:rPr>
          <w:b/>
          <w:bCs/>
          <w:lang w:val="en-IE" w:eastAsia="en-IE"/>
        </w:rPr>
      </w:pPr>
      <w:r w:rsidRPr="00CA013A">
        <w:rPr>
          <w:b/>
          <w:bCs/>
          <w:lang w:val="en-IE" w:eastAsia="en-IE"/>
        </w:rPr>
        <w:t>Year 1 to 5</w:t>
      </w:r>
    </w:p>
    <w:p w14:paraId="17DDAD27" w14:textId="2049304E" w:rsidR="00275F81" w:rsidRPr="00275F81" w:rsidRDefault="00275F81" w:rsidP="00275F81">
      <w:pPr>
        <w:pStyle w:val="BodyText"/>
        <w:rPr>
          <w:b/>
          <w:bCs/>
          <w:lang w:val="en-IE" w:eastAsia="en-IE"/>
        </w:rPr>
      </w:pPr>
      <w:r w:rsidRPr="00275F81">
        <w:rPr>
          <w:b/>
          <w:bCs/>
          <w:lang w:val="en-IE" w:eastAsia="en-IE"/>
        </w:rPr>
        <w:t>Site visit and photographic survey</w:t>
      </w:r>
    </w:p>
    <w:p w14:paraId="00A67744" w14:textId="486F65AE" w:rsidR="00275F81" w:rsidRDefault="00275F81" w:rsidP="00275F81">
      <w:pPr>
        <w:pStyle w:val="BodyText"/>
        <w:rPr>
          <w:lang w:val="en-IE" w:eastAsia="en-IE"/>
        </w:rPr>
      </w:pPr>
      <w:r>
        <w:rPr>
          <w:lang w:val="en-IE" w:eastAsia="en-IE"/>
        </w:rPr>
        <w:t>The</w:t>
      </w:r>
      <w:r w:rsidRPr="008C492D">
        <w:rPr>
          <w:lang w:val="en-IE" w:eastAsia="en-IE"/>
        </w:rPr>
        <w:t xml:space="preserve"> University of Galway and University of Limerick have existing photographic survey</w:t>
      </w:r>
      <w:r>
        <w:rPr>
          <w:lang w:val="en-IE" w:eastAsia="en-IE"/>
        </w:rPr>
        <w:t>s</w:t>
      </w:r>
      <w:r w:rsidRPr="008C492D">
        <w:rPr>
          <w:lang w:val="en-IE" w:eastAsia="en-IE"/>
        </w:rPr>
        <w:t xml:space="preserve"> which </w:t>
      </w:r>
      <w:r>
        <w:rPr>
          <w:lang w:val="en-IE" w:eastAsia="en-IE"/>
        </w:rPr>
        <w:t>will</w:t>
      </w:r>
      <w:r w:rsidRPr="008C492D">
        <w:rPr>
          <w:lang w:val="en-IE" w:eastAsia="en-IE"/>
        </w:rPr>
        <w:t xml:space="preserve"> need to be updated</w:t>
      </w:r>
      <w:r>
        <w:rPr>
          <w:lang w:val="en-IE" w:eastAsia="en-IE"/>
        </w:rPr>
        <w:t xml:space="preserve"> on an annual basis.</w:t>
      </w:r>
      <w:r w:rsidR="000A505D">
        <w:rPr>
          <w:lang w:val="en-IE" w:eastAsia="en-IE"/>
        </w:rPr>
        <w:t xml:space="preserve"> </w:t>
      </w:r>
      <w:r w:rsidR="000A505D" w:rsidRPr="00B93B95">
        <w:rPr>
          <w:lang w:val="en-IE" w:eastAsia="en-IE"/>
        </w:rPr>
        <w:t>The Selected tenderer is required to visit each of the University Properties, conduct a visual inspection to gain a detailed understanding of the properties.</w:t>
      </w:r>
    </w:p>
    <w:p w14:paraId="1B1DAA22" w14:textId="3BB35318" w:rsidR="00D316D2" w:rsidRDefault="00275F81" w:rsidP="00D316D2">
      <w:pPr>
        <w:pStyle w:val="BodyText"/>
        <w:rPr>
          <w:lang w:val="en-IE" w:eastAsia="en-IE"/>
        </w:rPr>
      </w:pPr>
      <w:r w:rsidRPr="00B93B95">
        <w:rPr>
          <w:lang w:val="en-IE" w:eastAsia="en-IE"/>
        </w:rPr>
        <w:t xml:space="preserve">It is proposed that a Site Visit will be conducted at approximately 20% of the estate property. The visits and property selected will be agreed with the Contracting Authority. As part of the Site Visit </w:t>
      </w:r>
      <w:r w:rsidR="00D316D2">
        <w:rPr>
          <w:lang w:val="en-IE" w:eastAsia="en-IE"/>
        </w:rPr>
        <w:t xml:space="preserve">the selected tenderer should </w:t>
      </w:r>
      <w:r w:rsidR="00D316D2" w:rsidRPr="00B93B95">
        <w:rPr>
          <w:lang w:val="en-IE" w:eastAsia="en-IE"/>
        </w:rPr>
        <w:t xml:space="preserve">identify </w:t>
      </w:r>
      <w:r w:rsidR="00D316D2">
        <w:rPr>
          <w:lang w:val="en-IE" w:eastAsia="en-IE"/>
        </w:rPr>
        <w:t>any change to</w:t>
      </w:r>
      <w:r w:rsidR="00D316D2" w:rsidRPr="00B93B95">
        <w:rPr>
          <w:lang w:val="en-IE" w:eastAsia="en-IE"/>
        </w:rPr>
        <w:t xml:space="preserve"> property details which will </w:t>
      </w:r>
      <w:r w:rsidR="00D316D2">
        <w:rPr>
          <w:lang w:val="en-IE" w:eastAsia="en-IE"/>
        </w:rPr>
        <w:t>affect</w:t>
      </w:r>
      <w:r w:rsidR="00D316D2" w:rsidRPr="00B93B95">
        <w:rPr>
          <w:lang w:val="en-IE" w:eastAsia="en-IE"/>
        </w:rPr>
        <w:t xml:space="preserve"> the Reinstatement Cost</w:t>
      </w:r>
      <w:r w:rsidR="00D316D2">
        <w:rPr>
          <w:lang w:val="en-IE" w:eastAsia="en-IE"/>
        </w:rPr>
        <w:t xml:space="preserve"> of the property</w:t>
      </w:r>
    </w:p>
    <w:p w14:paraId="2F0E6E4B" w14:textId="75343440" w:rsidR="005B370D" w:rsidRPr="005B370D" w:rsidRDefault="005B370D" w:rsidP="00974DEA">
      <w:pPr>
        <w:pStyle w:val="BodyText"/>
        <w:rPr>
          <w:b/>
          <w:bCs/>
          <w:lang w:val="en-IE" w:eastAsia="en-IE"/>
        </w:rPr>
      </w:pPr>
      <w:r w:rsidRPr="005B370D">
        <w:rPr>
          <w:b/>
          <w:bCs/>
          <w:lang w:val="en-IE" w:eastAsia="en-IE"/>
        </w:rPr>
        <w:t>Reinstatement cost</w:t>
      </w:r>
    </w:p>
    <w:p w14:paraId="6B7EE835" w14:textId="77777777" w:rsidR="005B370D" w:rsidRDefault="005B370D" w:rsidP="005B370D">
      <w:pPr>
        <w:pStyle w:val="BodyText"/>
        <w:rPr>
          <w:lang w:val="en-IE" w:eastAsia="en-IE"/>
        </w:rPr>
      </w:pPr>
      <w:r w:rsidRPr="00B93B95">
        <w:rPr>
          <w:lang w:val="en-IE" w:eastAsia="en-IE"/>
        </w:rPr>
        <w:lastRenderedPageBreak/>
        <w:t>The Selected tenderer will be required to provide a desktop update to the baseline Reinstatement Cost. The update will take account of any industry inflation changes as appropriate, future development risk, changes in legislation or regulations that will impact development costs and consequently reinstatement values.</w:t>
      </w:r>
    </w:p>
    <w:p w14:paraId="0AEAC6DD" w14:textId="77777777" w:rsidR="009F6631" w:rsidRPr="00B93B95" w:rsidRDefault="009F6631" w:rsidP="009F6631">
      <w:pPr>
        <w:pStyle w:val="BodyText"/>
        <w:rPr>
          <w:lang w:val="en-IE" w:eastAsia="en-IE"/>
        </w:rPr>
      </w:pPr>
      <w:r w:rsidRPr="1E2A4048">
        <w:rPr>
          <w:lang w:val="en-IE" w:eastAsia="en-IE"/>
        </w:rPr>
        <w:t>The Reinstatement Cost will be prepared in industry appropriate report format that will be acceptable to insurers together with a soft copy in excel.</w:t>
      </w:r>
    </w:p>
    <w:p w14:paraId="4139C402" w14:textId="18D8A406" w:rsidR="009F6631" w:rsidRPr="00B93B95" w:rsidRDefault="005B370D" w:rsidP="009F6631">
      <w:pPr>
        <w:pStyle w:val="BodyText"/>
        <w:rPr>
          <w:lang w:val="en-IE" w:eastAsia="en-IE"/>
        </w:rPr>
      </w:pPr>
      <w:r>
        <w:rPr>
          <w:b/>
          <w:lang w:val="en-IE" w:eastAsia="en-IE"/>
        </w:rPr>
        <w:t xml:space="preserve">Note: </w:t>
      </w:r>
      <w:r w:rsidR="009F6631" w:rsidRPr="00B93B95">
        <w:rPr>
          <w:lang w:val="en-IE" w:eastAsia="en-IE"/>
        </w:rPr>
        <w:t xml:space="preserve">It is important to note that some properties are recorded in a grouped manner for example the University hosts several residential villages which have </w:t>
      </w:r>
      <w:r w:rsidR="00F5195D" w:rsidRPr="00B93B95">
        <w:rPr>
          <w:lang w:val="en-IE" w:eastAsia="en-IE"/>
        </w:rPr>
        <w:t>several</w:t>
      </w:r>
      <w:r w:rsidR="009F6631" w:rsidRPr="00B93B95">
        <w:rPr>
          <w:lang w:val="en-IE" w:eastAsia="en-IE"/>
        </w:rPr>
        <w:t xml:space="preserve"> individual properties or blocks, however, they may be recorded as a single building unit on the property index. Conversely the University have a number of properties that have undergone extensions over the past 40 plus years. Significant extensions are recorded as separate building line items on the property index to distinguish the different characteristics.</w:t>
      </w:r>
    </w:p>
    <w:p w14:paraId="0FC27C33" w14:textId="49073FE9" w:rsidR="005B370D" w:rsidRPr="005B370D" w:rsidRDefault="005B370D" w:rsidP="009F6631">
      <w:pPr>
        <w:pStyle w:val="BodyText"/>
        <w:rPr>
          <w:b/>
          <w:bCs/>
          <w:lang w:val="en-IE" w:eastAsia="en-IE"/>
        </w:rPr>
      </w:pPr>
      <w:r w:rsidRPr="005B370D">
        <w:rPr>
          <w:b/>
          <w:bCs/>
          <w:lang w:val="en-IE" w:eastAsia="en-IE"/>
        </w:rPr>
        <w:t>Year 5</w:t>
      </w:r>
    </w:p>
    <w:p w14:paraId="2C63B135" w14:textId="5D7294C7" w:rsidR="009F6631" w:rsidRPr="00B93B95" w:rsidRDefault="009F6631" w:rsidP="009F6631">
      <w:pPr>
        <w:pStyle w:val="BodyText"/>
        <w:rPr>
          <w:lang w:val="en-IE" w:eastAsia="en-IE"/>
        </w:rPr>
      </w:pPr>
      <w:r w:rsidRPr="00B93B95">
        <w:rPr>
          <w:lang w:val="en-IE" w:eastAsia="en-IE"/>
        </w:rPr>
        <w:t>Upon conclusion of the agreement and following the production of the Reinstatement Cost for year 5, the Selected Tenderer will provide the University will all relevant documentation prepared and delivered during</w:t>
      </w:r>
      <w:r>
        <w:rPr>
          <w:lang w:val="en-IE" w:eastAsia="en-IE"/>
        </w:rPr>
        <w:t xml:space="preserve"> </w:t>
      </w:r>
      <w:r w:rsidRPr="00B93B95">
        <w:rPr>
          <w:lang w:val="en-IE" w:eastAsia="en-IE"/>
        </w:rPr>
        <w:t>the course of the engagement in soft copy recognising the University may use this information to inform future work in this area.</w:t>
      </w:r>
    </w:p>
    <w:p w14:paraId="07921C25" w14:textId="77777777" w:rsidR="009F6631" w:rsidRDefault="009F6631" w:rsidP="009F6631">
      <w:pPr>
        <w:pStyle w:val="BodyText"/>
        <w:rPr>
          <w:lang w:val="en-IE" w:eastAsia="en-IE"/>
        </w:rPr>
      </w:pPr>
      <w:r w:rsidRPr="00B93B95">
        <w:rPr>
          <w:b/>
          <w:lang w:val="en-IE" w:eastAsia="en-IE"/>
        </w:rPr>
        <w:t>Note</w:t>
      </w:r>
      <w:r w:rsidRPr="00B93B95">
        <w:rPr>
          <w:lang w:val="en-IE" w:eastAsia="en-IE"/>
        </w:rPr>
        <w:t>: The Contracting Authority reserves the right to amend the scope of works during the life of the project</w:t>
      </w:r>
    </w:p>
    <w:p w14:paraId="4B69A64D" w14:textId="02ED6AF3" w:rsidR="00B93B95" w:rsidRDefault="00B93B95" w:rsidP="00610CED">
      <w:pPr>
        <w:pStyle w:val="Heading2"/>
        <w:numPr>
          <w:ilvl w:val="1"/>
          <w:numId w:val="28"/>
        </w:numPr>
        <w:ind w:left="709" w:hanging="709"/>
      </w:pPr>
      <w:bookmarkStart w:id="65" w:name="_Toc196294366"/>
      <w:r>
        <w:t>Ad Hoc Services Requirements</w:t>
      </w:r>
      <w:bookmarkEnd w:id="65"/>
    </w:p>
    <w:p w14:paraId="693E5C4F" w14:textId="77777777" w:rsidR="00B93B95" w:rsidRPr="00B93B95" w:rsidRDefault="00B93B95" w:rsidP="00B93B95">
      <w:pPr>
        <w:pStyle w:val="BodyText"/>
        <w:rPr>
          <w:b/>
        </w:rPr>
      </w:pPr>
      <w:r w:rsidRPr="00B93B95">
        <w:rPr>
          <w:b/>
        </w:rPr>
        <w:t>Reinstatement Valuations</w:t>
      </w:r>
    </w:p>
    <w:p w14:paraId="186844B4" w14:textId="197FA5FE" w:rsidR="00B93B95" w:rsidRDefault="00B93B95" w:rsidP="00B93B95">
      <w:pPr>
        <w:pStyle w:val="BodyText"/>
      </w:pPr>
      <w:r>
        <w:t>It is envisaged that during the duration of this agreement the University will make changes to its estate portfolio in the form of new development, upgrades, refurbishments, demolitions, acquisitions and disposals. In some instances, lease agreements may require property insurance input also.</w:t>
      </w:r>
    </w:p>
    <w:p w14:paraId="7320667C" w14:textId="1A3DB4E1" w:rsidR="00B93B95" w:rsidRDefault="00B93B95" w:rsidP="00B93B95">
      <w:pPr>
        <w:pStyle w:val="BodyText"/>
      </w:pPr>
      <w:r>
        <w:t>From time to time, the Contracting Authority will require support from the Selected Tenderer to update the University Reinstatement Cost schedule and provide the necessary details for property insurance purposes to the insurers.</w:t>
      </w:r>
    </w:p>
    <w:p w14:paraId="3D088C9F" w14:textId="77777777" w:rsidR="00B93B95" w:rsidRPr="00B93B95" w:rsidRDefault="00B93B95" w:rsidP="00B93B95">
      <w:pPr>
        <w:pStyle w:val="BodyText"/>
        <w:rPr>
          <w:b/>
        </w:rPr>
      </w:pPr>
      <w:r w:rsidRPr="00B93B95">
        <w:rPr>
          <w:b/>
        </w:rPr>
        <w:t>Claim Support</w:t>
      </w:r>
    </w:p>
    <w:p w14:paraId="0C07870F" w14:textId="28198468" w:rsidR="00B93B95" w:rsidRDefault="00B93B95" w:rsidP="00B93B95">
      <w:pPr>
        <w:pStyle w:val="BodyText"/>
      </w:pPr>
      <w:r>
        <w:t>It is envisaged that during the duration of this agreement the University may find itself in a property insurance claim situation. The Selected Tenderer will work with the University</w:t>
      </w:r>
      <w:r w:rsidR="004A26CE">
        <w:t xml:space="preserve"> to provide</w:t>
      </w:r>
      <w:r>
        <w:t xml:space="preserve"> cost and general </w:t>
      </w:r>
      <w:r w:rsidR="006D545F">
        <w:t>advice</w:t>
      </w:r>
      <w:r>
        <w:t xml:space="preserve"> to the University in support of the claim requirements and needs. This service may involve</w:t>
      </w:r>
      <w:r w:rsidR="000B5606">
        <w:t xml:space="preserve">, but not limited to, services such as </w:t>
      </w:r>
      <w:r>
        <w:t>site visits</w:t>
      </w:r>
      <w:r w:rsidR="00111D91">
        <w:t xml:space="preserve">, </w:t>
      </w:r>
      <w:r w:rsidR="00111D91" w:rsidRPr="00111D91">
        <w:rPr>
          <w:lang w:val="en-IE"/>
        </w:rPr>
        <w:t>engagement w</w:t>
      </w:r>
      <w:r w:rsidR="00111D91">
        <w:rPr>
          <w:lang w:val="en-IE"/>
        </w:rPr>
        <w:t xml:space="preserve">ith </w:t>
      </w:r>
      <w:r w:rsidR="00111D91" w:rsidRPr="00111D91">
        <w:rPr>
          <w:lang w:val="en-IE"/>
        </w:rPr>
        <w:t>loss adjusters</w:t>
      </w:r>
      <w:r w:rsidR="00111D91">
        <w:t>, assessors, insurance companies, brokers</w:t>
      </w:r>
      <w:r w:rsidR="000B5606">
        <w:t xml:space="preserve">, </w:t>
      </w:r>
      <w:r>
        <w:t>detailed surveys which will be agreed at the time.</w:t>
      </w:r>
      <w:r w:rsidR="00A27F84">
        <w:t xml:space="preserve"> </w:t>
      </w:r>
      <w:r w:rsidR="008F315D">
        <w:t xml:space="preserve"> </w:t>
      </w:r>
    </w:p>
    <w:p w14:paraId="17D4EF04" w14:textId="77777777" w:rsidR="00B93B95" w:rsidRPr="00B93B95" w:rsidRDefault="00B93B95" w:rsidP="00B93B95">
      <w:pPr>
        <w:pStyle w:val="BodyText"/>
        <w:rPr>
          <w:b/>
        </w:rPr>
      </w:pPr>
      <w:r w:rsidRPr="00B93B95">
        <w:rPr>
          <w:b/>
        </w:rPr>
        <w:t>Suitability Testing</w:t>
      </w:r>
    </w:p>
    <w:p w14:paraId="705D5E9B" w14:textId="0EC39614" w:rsidR="00B93B95" w:rsidRDefault="00B93B95" w:rsidP="00B93B95">
      <w:pPr>
        <w:pStyle w:val="BodyText"/>
      </w:pPr>
      <w:r>
        <w:t>During the duration of the agreement the University may require support, advice and guidance in relation to its built asset portfolio. The Selected Tenderer may be required to assist in testing and assessing the university’s strategic options in terms of the long-term feasibility, suitability, compliance, fitness for purpose, energy and utility efficiency, financial investment and sustainability including Life cycle costs. This work may be brought about following a property related incident</w:t>
      </w:r>
      <w:r w:rsidR="00D73D3C">
        <w:t>, and or,</w:t>
      </w:r>
      <w:r w:rsidR="002D0034">
        <w:t xml:space="preserve"> as part of</w:t>
      </w:r>
      <w:r w:rsidR="00D73D3C">
        <w:t xml:space="preserve"> </w:t>
      </w:r>
      <w:r>
        <w:t>future</w:t>
      </w:r>
      <w:r w:rsidR="00D73D3C">
        <w:t xml:space="preserve"> strategic planning</w:t>
      </w:r>
      <w:r>
        <w:t xml:space="preserve"> consideration</w:t>
      </w:r>
      <w:r w:rsidR="002D0034">
        <w:t xml:space="preserve">s under </w:t>
      </w:r>
      <w:r>
        <w:t>the University strategic decision-making process.</w:t>
      </w:r>
      <w:r w:rsidR="00490610">
        <w:t xml:space="preserve"> </w:t>
      </w:r>
    </w:p>
    <w:p w14:paraId="4014EC6F" w14:textId="44259DC8" w:rsidR="003F7B2F" w:rsidRPr="003F7B2F" w:rsidRDefault="00B93B95" w:rsidP="00755F86">
      <w:pPr>
        <w:pStyle w:val="Heading2"/>
        <w:numPr>
          <w:ilvl w:val="1"/>
          <w:numId w:val="28"/>
        </w:numPr>
        <w:ind w:left="709" w:hanging="709"/>
      </w:pPr>
      <w:bookmarkStart w:id="66" w:name="_Toc196294367"/>
      <w:r>
        <w:lastRenderedPageBreak/>
        <w:t>Reinstatement Cost Provision Generally</w:t>
      </w:r>
      <w:bookmarkEnd w:id="66"/>
    </w:p>
    <w:p w14:paraId="51DD927F" w14:textId="77777777" w:rsidR="00B93B95" w:rsidRDefault="00B93B95" w:rsidP="00B93B95">
      <w:pPr>
        <w:pStyle w:val="BodyText"/>
      </w:pPr>
      <w:r>
        <w:t>The basis of the service provided must reflect that required by industry insurance providers to ensure a full property reinstatement value is professionally prepared. It is the responsibility of the tenderer to deliver a robust professional service relying solely on their own professional expertise, experience and development. Where the tenderer does not hold a particular element the necessary in-house expertise to deliver on the requirements of this tenderer, it shall be their own responsibility to obtain such expertise. The Tenderer is required to provide for all specialist support required to deliver on the service requirements.</w:t>
      </w:r>
    </w:p>
    <w:p w14:paraId="3C49E7A1" w14:textId="38C1CF88" w:rsidR="00B93B95" w:rsidRDefault="00B93B95" w:rsidP="00B93B95">
      <w:pPr>
        <w:pStyle w:val="BodyText"/>
      </w:pPr>
      <w:r>
        <w:t>Valuations should be based upon a like for like replacement. However, it is noted that replacement buildings will be required to comply with current building regulations and legislation at the time of reinstatement.</w:t>
      </w:r>
    </w:p>
    <w:p w14:paraId="7A47EEFD" w14:textId="77777777" w:rsidR="00B93B95" w:rsidRDefault="00B93B95" w:rsidP="00B93B95">
      <w:pPr>
        <w:pStyle w:val="BodyText"/>
      </w:pPr>
      <w:r>
        <w:t>The insurance policy is based on “total Loss” and as such the property reinstatement value should include for all necessary items.</w:t>
      </w:r>
    </w:p>
    <w:p w14:paraId="34A86881" w14:textId="77777777" w:rsidR="00B93B95" w:rsidRDefault="00B93B95" w:rsidP="00B93B95">
      <w:pPr>
        <w:pStyle w:val="BodyText"/>
      </w:pPr>
      <w:r>
        <w:t>Property specifics, especially in the area of protected structures, recorded monuments and historic buildings must be accurately identified and valued. The Selected Tenderer is to include for all specialist input required to accurately prepare reinstatement values for structures of these types.</w:t>
      </w:r>
    </w:p>
    <w:p w14:paraId="3BBDFBCC" w14:textId="240A45F4" w:rsidR="00B93B95" w:rsidRDefault="00B93B95" w:rsidP="00B93B95">
      <w:pPr>
        <w:pStyle w:val="BodyText"/>
      </w:pPr>
      <w:r>
        <w:t>Construction environment fluctuations need to be commented upon and accurately reflected in so far a</w:t>
      </w:r>
      <w:r w:rsidR="00683A46">
        <w:t>s is</w:t>
      </w:r>
      <w:r>
        <w:t xml:space="preserve"> reasonable in accordance with good industry practice.</w:t>
      </w:r>
    </w:p>
    <w:p w14:paraId="0271A046" w14:textId="77777777" w:rsidR="00B93B95" w:rsidRDefault="00B93B95" w:rsidP="00B93B95">
      <w:pPr>
        <w:pStyle w:val="BodyText"/>
      </w:pPr>
      <w:r>
        <w:t>The Society of Chartered Surveyors tender index together with other relevant data index should be used when considering the Reinstatement Cost.</w:t>
      </w:r>
    </w:p>
    <w:p w14:paraId="5C1E44C4" w14:textId="77777777" w:rsidR="00B93B95" w:rsidRDefault="00B93B95" w:rsidP="00B93B95">
      <w:pPr>
        <w:pStyle w:val="BodyText"/>
      </w:pPr>
      <w:r>
        <w:t>Reinstatement Cost reports should contain details pertaining to building regulations changes, those that have been implemented recently and those that are envisaged into the future. Each report should distinguish which if these regulation changes have been allowed for within the reinstatement valuation. The reinstatement valuation should include for decanting and or temporary accommodation where necessary and as appropriate.</w:t>
      </w:r>
    </w:p>
    <w:p w14:paraId="1040FAE9" w14:textId="27A8C9A2" w:rsidR="00B93B95" w:rsidRDefault="00B93B95" w:rsidP="00B93B95">
      <w:pPr>
        <w:pStyle w:val="BodyText"/>
      </w:pPr>
      <w:r>
        <w:t xml:space="preserve">Reinstatement cost breakdown should include the following elements: Demolition &amp; Site clearance, Debris removal, Securing the site, </w:t>
      </w:r>
      <w:r w:rsidR="0096516C">
        <w:t>building</w:t>
      </w:r>
      <w:r>
        <w:t xml:space="preserve"> cost (including Mechanical, Electrical, ICT and Specialist services, Fixed furniture and equipment), External works, Statutory fees and Charges, Professional fees and charges, Public Authority compliance, legislation compliance including the Planning &amp; Development Act 2000, together with VAT</w:t>
      </w:r>
    </w:p>
    <w:p w14:paraId="27E66FBF" w14:textId="77777777" w:rsidR="00B93B95" w:rsidRDefault="00B93B95" w:rsidP="00B93B95">
      <w:pPr>
        <w:pStyle w:val="BodyText"/>
      </w:pPr>
      <w:r>
        <w:t>The definition of Buildings as described in the current policy documentation is:</w:t>
      </w:r>
    </w:p>
    <w:p w14:paraId="4E59C794" w14:textId="77777777" w:rsidR="00B93B95" w:rsidRDefault="00B93B95" w:rsidP="00B93B95">
      <w:pPr>
        <w:pStyle w:val="BodyText"/>
      </w:pPr>
      <w:r>
        <w:t>•</w:t>
      </w:r>
      <w:r>
        <w:tab/>
        <w:t xml:space="preserve">buildings </w:t>
      </w:r>
    </w:p>
    <w:p w14:paraId="654A66C2" w14:textId="77777777" w:rsidR="00B93B95" w:rsidRDefault="00B93B95" w:rsidP="00B93B95">
      <w:pPr>
        <w:pStyle w:val="BodyText"/>
      </w:pPr>
      <w:r>
        <w:t>•</w:t>
      </w:r>
      <w:r>
        <w:tab/>
        <w:t xml:space="preserve">landlord’s fixtures and fittings in and on the buildings </w:t>
      </w:r>
    </w:p>
    <w:p w14:paraId="72551330" w14:textId="77777777" w:rsidR="00B93B95" w:rsidRDefault="00B93B95" w:rsidP="00B93B95">
      <w:pPr>
        <w:pStyle w:val="BodyText"/>
      </w:pPr>
      <w:r>
        <w:t>•</w:t>
      </w:r>
      <w:r>
        <w:tab/>
        <w:t xml:space="preserve">foundations </w:t>
      </w:r>
    </w:p>
    <w:p w14:paraId="44CE1C29" w14:textId="77777777" w:rsidR="00B93B95" w:rsidRDefault="00B93B95" w:rsidP="00B93B95">
      <w:pPr>
        <w:pStyle w:val="BodyText"/>
      </w:pPr>
      <w:r>
        <w:t>•</w:t>
      </w:r>
      <w:r>
        <w:tab/>
        <w:t xml:space="preserve">culverts </w:t>
      </w:r>
    </w:p>
    <w:p w14:paraId="321B3753" w14:textId="77777777" w:rsidR="00B93B95" w:rsidRDefault="00B93B95" w:rsidP="00B93B95">
      <w:pPr>
        <w:pStyle w:val="BodyText"/>
      </w:pPr>
      <w:r>
        <w:t>•</w:t>
      </w:r>
      <w:r>
        <w:tab/>
        <w:t xml:space="preserve">underground tanks </w:t>
      </w:r>
    </w:p>
    <w:p w14:paraId="59262A3E" w14:textId="77777777" w:rsidR="00B93B95" w:rsidRDefault="00B93B95" w:rsidP="00B93B95">
      <w:pPr>
        <w:pStyle w:val="BodyText"/>
      </w:pPr>
      <w:r>
        <w:t>•</w:t>
      </w:r>
      <w:r>
        <w:tab/>
        <w:t xml:space="preserve">outbuildings extensions annexes gangways </w:t>
      </w:r>
    </w:p>
    <w:p w14:paraId="282F641E" w14:textId="77777777" w:rsidR="00B93B95" w:rsidRDefault="00B93B95" w:rsidP="00B93B95">
      <w:pPr>
        <w:pStyle w:val="BodyText"/>
      </w:pPr>
      <w:r>
        <w:t>•</w:t>
      </w:r>
      <w:r>
        <w:tab/>
        <w:t xml:space="preserve">walls gabions rock armour gates and fences </w:t>
      </w:r>
    </w:p>
    <w:p w14:paraId="3D209356" w14:textId="00859D50" w:rsidR="00B93B95" w:rsidRDefault="00B93B95" w:rsidP="00EB3296">
      <w:pPr>
        <w:pStyle w:val="BodyText"/>
        <w:ind w:left="720" w:hanging="720"/>
      </w:pPr>
      <w:r>
        <w:t>•</w:t>
      </w:r>
      <w:r>
        <w:tab/>
        <w:t>services which shall mean telephone</w:t>
      </w:r>
      <w:r w:rsidR="00C96FB8">
        <w:t>,</w:t>
      </w:r>
      <w:r>
        <w:t xml:space="preserve"> gas and water mains electrical instruments meters piping cabling and the like and the accessories thereon extending from the buildings to the perimeter of the premises or to the public mains (including those underground) </w:t>
      </w:r>
    </w:p>
    <w:p w14:paraId="25C12C2D" w14:textId="77777777" w:rsidR="00B93B95" w:rsidRDefault="00B93B95" w:rsidP="00B93B95">
      <w:pPr>
        <w:pStyle w:val="BodyText"/>
      </w:pPr>
      <w:r>
        <w:lastRenderedPageBreak/>
        <w:t>•</w:t>
      </w:r>
      <w:r>
        <w:tab/>
        <w:t xml:space="preserve">paths bridges cables landscaped areas tracks sports surfaces playing pitches and signage </w:t>
      </w:r>
    </w:p>
    <w:p w14:paraId="7EC87D54" w14:textId="77777777" w:rsidR="00B93B95" w:rsidRDefault="00B93B95" w:rsidP="00B93B95">
      <w:pPr>
        <w:pStyle w:val="BodyText"/>
      </w:pPr>
      <w:r>
        <w:t>•</w:t>
      </w:r>
      <w:r>
        <w:tab/>
        <w:t xml:space="preserve">car parks yards and roads </w:t>
      </w:r>
    </w:p>
    <w:p w14:paraId="6C7D0E8D" w14:textId="77777777" w:rsidR="00B93B95" w:rsidRDefault="00B93B95" w:rsidP="00B93B95">
      <w:pPr>
        <w:pStyle w:val="BodyText"/>
      </w:pPr>
      <w:r>
        <w:t>•</w:t>
      </w:r>
      <w:r>
        <w:tab/>
        <w:t xml:space="preserve">jetties made of rock or concrete </w:t>
      </w:r>
    </w:p>
    <w:p w14:paraId="26D3C988" w14:textId="5A73C2F9" w:rsidR="003F7B2F" w:rsidRPr="003F7B2F" w:rsidRDefault="00B93B95" w:rsidP="00B93B95">
      <w:pPr>
        <w:pStyle w:val="BodyText"/>
      </w:pPr>
      <w:r>
        <w:t>•</w:t>
      </w:r>
      <w:r>
        <w:tab/>
        <w:t>slipways made of rock or concrete</w:t>
      </w:r>
    </w:p>
    <w:p w14:paraId="41F412D2" w14:textId="15A89DA5" w:rsidR="003F7B2F" w:rsidRPr="003F7B2F" w:rsidRDefault="00B93B95" w:rsidP="00755F86">
      <w:pPr>
        <w:pStyle w:val="Heading2"/>
        <w:numPr>
          <w:ilvl w:val="1"/>
          <w:numId w:val="28"/>
        </w:numPr>
        <w:ind w:left="709" w:hanging="709"/>
      </w:pPr>
      <w:bookmarkStart w:id="67" w:name="_Toc196294368"/>
      <w:r>
        <w:t>Information Available</w:t>
      </w:r>
      <w:bookmarkEnd w:id="67"/>
    </w:p>
    <w:p w14:paraId="045B51D0" w14:textId="77777777" w:rsidR="00B93B95" w:rsidRDefault="00B93B95" w:rsidP="00B93B95">
      <w:pPr>
        <w:pStyle w:val="BodyText"/>
      </w:pPr>
      <w:r>
        <w:t>The following information where within the Contracting Authority’s possession will be made available to the Selected Tenderer:</w:t>
      </w:r>
    </w:p>
    <w:p w14:paraId="07A9B14E" w14:textId="16F4EE55" w:rsidR="00B93B95" w:rsidRDefault="312D6AF6" w:rsidP="3756B6F4">
      <w:pPr>
        <w:pStyle w:val="BodyText"/>
      </w:pPr>
      <w:r>
        <w:t xml:space="preserve">Lot 1: University of Limerick </w:t>
      </w:r>
    </w:p>
    <w:p w14:paraId="33CCAD8E" w14:textId="5D79D84C" w:rsidR="00B93B95" w:rsidRDefault="312D6AF6" w:rsidP="3756B6F4">
      <w:pPr>
        <w:pStyle w:val="BodyText"/>
        <w:numPr>
          <w:ilvl w:val="0"/>
          <w:numId w:val="2"/>
        </w:numPr>
      </w:pPr>
      <w:r>
        <w:t xml:space="preserve">A Location Map of the properties on University of Limerick’s Main Campus </w:t>
      </w:r>
    </w:p>
    <w:p w14:paraId="15D714B0" w14:textId="1E2C382A" w:rsidR="00B93B95" w:rsidRDefault="312D6AF6" w:rsidP="3756B6F4">
      <w:pPr>
        <w:pStyle w:val="BodyText"/>
        <w:numPr>
          <w:ilvl w:val="0"/>
          <w:numId w:val="2"/>
        </w:numPr>
      </w:pPr>
      <w:r>
        <w:t xml:space="preserve">A schedule of properties/ property index which shall include the following information (Building reference number, coordinates, high level specification) </w:t>
      </w:r>
    </w:p>
    <w:p w14:paraId="6E21050D" w14:textId="29AF5D55" w:rsidR="00B93B95" w:rsidRDefault="312D6AF6" w:rsidP="3756B6F4">
      <w:pPr>
        <w:pStyle w:val="BodyText"/>
        <w:numPr>
          <w:ilvl w:val="0"/>
          <w:numId w:val="2"/>
        </w:numPr>
      </w:pPr>
      <w:r>
        <w:t xml:space="preserve">Sample Layout Plans for the Properties in pdf format. </w:t>
      </w:r>
    </w:p>
    <w:p w14:paraId="5E6D90EE" w14:textId="7E17069F" w:rsidR="00B93B95" w:rsidRDefault="312D6AF6" w:rsidP="3756B6F4">
      <w:pPr>
        <w:pStyle w:val="BodyText"/>
      </w:pPr>
      <w:r>
        <w:t xml:space="preserve">Lot 2: University of Galway  </w:t>
      </w:r>
    </w:p>
    <w:p w14:paraId="7DD11626" w14:textId="1FEB14B3" w:rsidR="00B93B95" w:rsidRDefault="312D6AF6" w:rsidP="3756B6F4">
      <w:pPr>
        <w:pStyle w:val="BodyText"/>
        <w:numPr>
          <w:ilvl w:val="0"/>
          <w:numId w:val="1"/>
        </w:numPr>
      </w:pPr>
      <w:r>
        <w:t xml:space="preserve">A Location Map of the properties on University of Galway’s Main Campus </w:t>
      </w:r>
    </w:p>
    <w:p w14:paraId="5B15C771" w14:textId="604747D1" w:rsidR="00B93B95" w:rsidRDefault="312D6AF6" w:rsidP="3756B6F4">
      <w:pPr>
        <w:pStyle w:val="BodyText"/>
        <w:numPr>
          <w:ilvl w:val="0"/>
          <w:numId w:val="1"/>
        </w:numPr>
      </w:pPr>
      <w:r>
        <w:t xml:space="preserve">A schedule of properties/ property index which shall include the following information (Building reference number, coordinates, high level specification) </w:t>
      </w:r>
    </w:p>
    <w:p w14:paraId="5A02AF9B" w14:textId="7FF72092" w:rsidR="00B93B95" w:rsidRDefault="312D6AF6" w:rsidP="3756B6F4">
      <w:pPr>
        <w:pStyle w:val="BodyText"/>
        <w:numPr>
          <w:ilvl w:val="0"/>
          <w:numId w:val="1"/>
        </w:numPr>
      </w:pPr>
      <w:r>
        <w:t>Sample Layout Plans for the Properties in pdf format.</w:t>
      </w:r>
    </w:p>
    <w:p w14:paraId="15CA0F85" w14:textId="17BF3373" w:rsidR="001A149D" w:rsidRDefault="001A149D" w:rsidP="001A149D">
      <w:pPr>
        <w:pStyle w:val="BodyText"/>
      </w:pPr>
      <w:r>
        <w:t xml:space="preserve">Lot </w:t>
      </w:r>
      <w:r w:rsidR="0096516C">
        <w:t>3</w:t>
      </w:r>
      <w:r>
        <w:t xml:space="preserve">: University College Dublin </w:t>
      </w:r>
    </w:p>
    <w:p w14:paraId="03C21FD0" w14:textId="02AED16B" w:rsidR="001A149D" w:rsidRDefault="001A149D" w:rsidP="001A149D">
      <w:pPr>
        <w:pStyle w:val="BodyText"/>
        <w:numPr>
          <w:ilvl w:val="0"/>
          <w:numId w:val="2"/>
        </w:numPr>
      </w:pPr>
      <w:r>
        <w:t xml:space="preserve">A Location Map of the properties on University College </w:t>
      </w:r>
      <w:r w:rsidR="00862339">
        <w:t>Dublin’s</w:t>
      </w:r>
      <w:r>
        <w:t xml:space="preserve"> Campus </w:t>
      </w:r>
    </w:p>
    <w:p w14:paraId="494B0E68" w14:textId="77777777" w:rsidR="001A149D" w:rsidRDefault="001A149D" w:rsidP="001A149D">
      <w:pPr>
        <w:pStyle w:val="BodyText"/>
        <w:numPr>
          <w:ilvl w:val="0"/>
          <w:numId w:val="2"/>
        </w:numPr>
      </w:pPr>
      <w:r>
        <w:t xml:space="preserve">A schedule of properties/ property index which shall include the following information (Building reference number, coordinates, high level specification) </w:t>
      </w:r>
    </w:p>
    <w:p w14:paraId="5F748D30" w14:textId="5B29D7C0" w:rsidR="001A149D" w:rsidRDefault="001A149D" w:rsidP="001A149D">
      <w:pPr>
        <w:pStyle w:val="BodyText"/>
        <w:numPr>
          <w:ilvl w:val="0"/>
          <w:numId w:val="2"/>
        </w:numPr>
      </w:pPr>
      <w:r>
        <w:t xml:space="preserve">Sample Layout Plans for the Properties in pdf format. </w:t>
      </w:r>
    </w:p>
    <w:p w14:paraId="532249AC" w14:textId="517189D5" w:rsidR="003F7B2F" w:rsidRPr="003F7B2F" w:rsidRDefault="00FD245E" w:rsidP="00755F86">
      <w:pPr>
        <w:pStyle w:val="Heading2"/>
        <w:numPr>
          <w:ilvl w:val="1"/>
          <w:numId w:val="28"/>
        </w:numPr>
        <w:ind w:left="709" w:hanging="709"/>
      </w:pPr>
      <w:bookmarkStart w:id="68" w:name="_Toc196294369"/>
      <w:r>
        <w:t>Use of Brand Names, etc.</w:t>
      </w:r>
      <w:bookmarkEnd w:id="68"/>
    </w:p>
    <w:p w14:paraId="38B2130C" w14:textId="6D6BC653" w:rsidR="005B6DB8" w:rsidRDefault="00FD245E" w:rsidP="003E582E">
      <w:pPr>
        <w:pStyle w:val="BodyText"/>
      </w:pPr>
      <w:r w:rsidRPr="00FD245E">
        <w:t>Where reference is made in the technical specification to any required particular make, source, origin, patent, process, trademark, brand name or standard, such reference shall on every occasion be understood as being accompanied by the words “or equivalent”. These references are provided only where it is not otherwise possible for a sufficiently precise description to be defined.</w:t>
      </w:r>
    </w:p>
    <w:p w14:paraId="788921B5" w14:textId="58B49BC3" w:rsidR="00733D94" w:rsidRDefault="00FD245E" w:rsidP="00755F86">
      <w:pPr>
        <w:pStyle w:val="Heading2"/>
        <w:numPr>
          <w:ilvl w:val="1"/>
          <w:numId w:val="28"/>
        </w:numPr>
        <w:ind w:left="709" w:hanging="709"/>
      </w:pPr>
      <w:bookmarkStart w:id="69" w:name="_Toc196294370"/>
      <w:r>
        <w:t>Pricing</w:t>
      </w:r>
      <w:bookmarkEnd w:id="69"/>
    </w:p>
    <w:p w14:paraId="1782B674" w14:textId="00DE5218" w:rsidR="00FD245E" w:rsidRDefault="00FD245E" w:rsidP="00FD245E">
      <w:pPr>
        <w:pStyle w:val="BodyText"/>
      </w:pPr>
      <w:r>
        <w:t>Pricing will be fixed for the 5 years of the Framework. (adjusted annually on the anniversary of the appointment, either with an increase or decrease if occurring, and only in accordance with movement of the Consumer Price Index (CPI) or any similar replacement consumer price tracking method as unilaterally selected by the Contracting Authority and in addition, Tenderers are to note that this will be the only adjustment mechanism)</w:t>
      </w:r>
    </w:p>
    <w:p w14:paraId="0C9E4334" w14:textId="77777777" w:rsidR="00FD245E" w:rsidRDefault="00FD245E" w:rsidP="00FD245E">
      <w:pPr>
        <w:pStyle w:val="BodyText"/>
      </w:pPr>
      <w:r>
        <w:t>As per the Pricing Document pricing and rates are required for:</w:t>
      </w:r>
    </w:p>
    <w:p w14:paraId="2E84EB2C" w14:textId="77777777" w:rsidR="00FD245E" w:rsidRDefault="00FD245E" w:rsidP="00FD245E">
      <w:pPr>
        <w:pStyle w:val="BodyText"/>
      </w:pPr>
      <w:r>
        <w:lastRenderedPageBreak/>
        <w:t>•</w:t>
      </w:r>
      <w:r>
        <w:tab/>
        <w:t>Project Director</w:t>
      </w:r>
    </w:p>
    <w:p w14:paraId="3C3EC330" w14:textId="77777777" w:rsidR="00FD245E" w:rsidRDefault="00FD245E" w:rsidP="00FD245E">
      <w:pPr>
        <w:pStyle w:val="BodyText"/>
      </w:pPr>
      <w:r>
        <w:t>•</w:t>
      </w:r>
      <w:r>
        <w:tab/>
        <w:t>Senior Project Surveyor</w:t>
      </w:r>
    </w:p>
    <w:p w14:paraId="4ED2D7DC" w14:textId="77777777" w:rsidR="00FD245E" w:rsidRDefault="00FD245E" w:rsidP="00FD245E">
      <w:pPr>
        <w:pStyle w:val="BodyText"/>
      </w:pPr>
      <w:r>
        <w:t>•</w:t>
      </w:r>
      <w:r>
        <w:tab/>
        <w:t>Project Surveyor</w:t>
      </w:r>
    </w:p>
    <w:p w14:paraId="6D21B7DA" w14:textId="147B8A54" w:rsidR="00733D94" w:rsidRDefault="00FD245E" w:rsidP="00FD245E">
      <w:pPr>
        <w:pStyle w:val="BodyText"/>
      </w:pPr>
      <w:r>
        <w:t>Please refer to the Pricing Document for further details. Tenderers must complete all of the relevant sections fully as failure to do so may invalidate the tenderer's response.</w:t>
      </w:r>
    </w:p>
    <w:p w14:paraId="003B0197" w14:textId="1C81C353" w:rsidR="00A52177" w:rsidRDefault="00FD245E" w:rsidP="00FD245E">
      <w:pPr>
        <w:pStyle w:val="Heading2"/>
        <w:numPr>
          <w:ilvl w:val="1"/>
          <w:numId w:val="28"/>
        </w:numPr>
        <w:ind w:hanging="780"/>
      </w:pPr>
      <w:bookmarkStart w:id="70" w:name="_Toc196294371"/>
      <w:r>
        <w:t>Obligations Regarding End of Framework</w:t>
      </w:r>
      <w:bookmarkEnd w:id="70"/>
    </w:p>
    <w:p w14:paraId="1CC35B65" w14:textId="4A8AD754" w:rsidR="00FD245E" w:rsidRDefault="00FD245E" w:rsidP="00FD245E">
      <w:pPr>
        <w:pStyle w:val="BodyText"/>
        <w:rPr>
          <w:lang w:val="en-IE" w:eastAsia="en-IE"/>
        </w:rPr>
      </w:pPr>
      <w:r w:rsidRPr="00FD245E">
        <w:rPr>
          <w:lang w:val="en-IE" w:eastAsia="en-IE"/>
        </w:rPr>
        <w:t>Upon conclusion of the Framework agreement and following the production of the Reinstatement Cost for year 5, the Selected Tenderer will provide the University will all relevant documentation prepared and delivered during the course of the engagement in soft copy (compatible with Microsoft office) recognising the University may use this information to inform future work in this area.</w:t>
      </w:r>
    </w:p>
    <w:p w14:paraId="169F5368" w14:textId="36C75D33" w:rsidR="00FD245E" w:rsidRDefault="00FD245E" w:rsidP="00FD245E">
      <w:pPr>
        <w:pStyle w:val="Heading2"/>
        <w:numPr>
          <w:ilvl w:val="1"/>
          <w:numId w:val="28"/>
        </w:numPr>
        <w:ind w:left="284" w:hanging="284"/>
      </w:pPr>
      <w:bookmarkStart w:id="71" w:name="_Toc196294372"/>
      <w:r>
        <w:t>Health and Safety</w:t>
      </w:r>
      <w:bookmarkEnd w:id="71"/>
    </w:p>
    <w:p w14:paraId="1CAE526A" w14:textId="45CEF1A7" w:rsidR="00FD245E" w:rsidRDefault="00FD245E" w:rsidP="00FD245E">
      <w:pPr>
        <w:pStyle w:val="BodyText"/>
        <w:rPr>
          <w:lang w:val="en-IE" w:eastAsia="en-IE"/>
        </w:rPr>
      </w:pPr>
      <w:r w:rsidRPr="00FD245E">
        <w:rPr>
          <w:lang w:val="en-IE" w:eastAsia="en-IE"/>
        </w:rPr>
        <w:t>The service provider’s staff must be fully compliant and up to date with all relevant Health and Safety legislation and have all the health and safety training required to carry out work on the at the Contracting Authority’s locations.</w:t>
      </w:r>
    </w:p>
    <w:p w14:paraId="73F41474" w14:textId="691DEB4D" w:rsidR="00FD245E" w:rsidRPr="00F5195D" w:rsidRDefault="00FD245E" w:rsidP="00FD245E">
      <w:pPr>
        <w:pStyle w:val="Heading2"/>
        <w:numPr>
          <w:ilvl w:val="1"/>
          <w:numId w:val="28"/>
        </w:numPr>
        <w:ind w:hanging="780"/>
      </w:pPr>
      <w:bookmarkStart w:id="72" w:name="_Toc196294373"/>
      <w:r w:rsidRPr="00F5195D">
        <w:t>Insurance</w:t>
      </w:r>
      <w:bookmarkEnd w:id="72"/>
    </w:p>
    <w:p w14:paraId="23F57B8C" w14:textId="16500E22" w:rsidR="00F0009E" w:rsidRDefault="00FD245E" w:rsidP="00FD245E">
      <w:pPr>
        <w:pStyle w:val="BodyText"/>
        <w:ind w:left="709" w:hanging="709"/>
        <w:rPr>
          <w:lang w:val="en-IE" w:eastAsia="en-IE"/>
        </w:rPr>
      </w:pPr>
      <w:r w:rsidRPr="00FD245E">
        <w:rPr>
          <w:lang w:val="en-IE" w:eastAsia="en-IE"/>
        </w:rPr>
        <w:t>•</w:t>
      </w:r>
      <w:r w:rsidRPr="00FD245E">
        <w:rPr>
          <w:lang w:val="en-IE" w:eastAsia="en-IE"/>
        </w:rPr>
        <w:tab/>
        <w:t xml:space="preserve">The successful Consultant shall ensure that any sub-consultants who they engage to carry out the Contract also comply with all the insurance requirements of the </w:t>
      </w:r>
      <w:r w:rsidR="00296EBE" w:rsidRPr="00F5195D">
        <w:rPr>
          <w:lang w:val="en-IE" w:eastAsia="en-IE"/>
        </w:rPr>
        <w:t>t</w:t>
      </w:r>
      <w:r w:rsidRPr="00F5195D">
        <w:rPr>
          <w:lang w:val="en-IE" w:eastAsia="en-IE"/>
        </w:rPr>
        <w:t>ender</w:t>
      </w:r>
      <w:r w:rsidR="008B668C" w:rsidRPr="00F5195D">
        <w:rPr>
          <w:lang w:val="en-IE" w:eastAsia="en-IE"/>
        </w:rPr>
        <w:t xml:space="preserve"> as per </w:t>
      </w:r>
      <w:r w:rsidR="00296EBE" w:rsidRPr="00F5195D">
        <w:rPr>
          <w:lang w:val="en-IE" w:eastAsia="en-IE"/>
        </w:rPr>
        <w:t>the ITT document</w:t>
      </w:r>
      <w:r w:rsidRPr="00FD245E">
        <w:rPr>
          <w:lang w:val="en-IE" w:eastAsia="en-IE"/>
        </w:rPr>
        <w:t>. The Consultant shall have a system in place to check and validate the insurances of any sub-consultants and ensure they satisfy the requirements of the Tender</w:t>
      </w:r>
      <w:r w:rsidR="00F0009E">
        <w:rPr>
          <w:lang w:val="en-IE" w:eastAsia="en-IE"/>
        </w:rPr>
        <w:t xml:space="preserve">. </w:t>
      </w:r>
    </w:p>
    <w:p w14:paraId="7ACA4E67" w14:textId="55743499" w:rsidR="00FD245E" w:rsidRPr="00FD245E" w:rsidRDefault="00F0009E" w:rsidP="00C377FA">
      <w:pPr>
        <w:pStyle w:val="BodyText"/>
        <w:numPr>
          <w:ilvl w:val="0"/>
          <w:numId w:val="37"/>
        </w:numPr>
        <w:ind w:left="709" w:hanging="709"/>
        <w:rPr>
          <w:lang w:val="en-IE" w:eastAsia="en-IE"/>
        </w:rPr>
      </w:pPr>
      <w:r>
        <w:rPr>
          <w:lang w:val="en-IE" w:eastAsia="en-IE"/>
        </w:rPr>
        <w:t xml:space="preserve">Tenderers are required </w:t>
      </w:r>
      <w:r w:rsidR="00C377FA">
        <w:rPr>
          <w:lang w:val="en-IE" w:eastAsia="en-IE"/>
        </w:rPr>
        <w:t>to include</w:t>
      </w:r>
      <w:r w:rsidR="00FD245E" w:rsidRPr="00FD245E">
        <w:rPr>
          <w:lang w:val="en-IE" w:eastAsia="en-IE"/>
        </w:rPr>
        <w:t xml:space="preserve"> a specific indemnity in favour of the Contracting Authority in relation to the Employers, Public /Products Liability and Motor Insurance Policies. </w:t>
      </w:r>
    </w:p>
    <w:p w14:paraId="3E2EB0F1" w14:textId="34D4AF5B" w:rsidR="00FD245E" w:rsidRPr="00FD245E" w:rsidRDefault="00FD245E" w:rsidP="00FD245E">
      <w:pPr>
        <w:pStyle w:val="BodyText"/>
        <w:ind w:left="709" w:hanging="709"/>
        <w:rPr>
          <w:lang w:val="en-IE" w:eastAsia="en-IE"/>
        </w:rPr>
      </w:pPr>
      <w:r w:rsidRPr="00FD245E">
        <w:rPr>
          <w:lang w:val="en-IE" w:eastAsia="en-IE"/>
        </w:rPr>
        <w:t>•</w:t>
      </w:r>
      <w:r w:rsidRPr="00FD245E">
        <w:rPr>
          <w:lang w:val="en-IE" w:eastAsia="en-IE"/>
        </w:rPr>
        <w:tab/>
        <w:t xml:space="preserve">Motor insurance: The Consultant will be required to provide evidence of Third-Party Property Damage with a minimum limit </w:t>
      </w:r>
      <w:r w:rsidRPr="00F5195D">
        <w:rPr>
          <w:lang w:val="en-IE" w:eastAsia="en-IE"/>
        </w:rPr>
        <w:t>of €6.5Million</w:t>
      </w:r>
      <w:r w:rsidRPr="00FD245E">
        <w:rPr>
          <w:lang w:val="en-IE" w:eastAsia="en-IE"/>
        </w:rPr>
        <w:t xml:space="preserve"> any one accident /unlimited any one period. Evidence of a specific indemnity in favour of the Contracting Authority is required.  </w:t>
      </w:r>
    </w:p>
    <w:p w14:paraId="592DCFC3" w14:textId="2E8955F3" w:rsidR="00FD245E" w:rsidRPr="00FD245E" w:rsidRDefault="00FD245E" w:rsidP="00FD245E">
      <w:pPr>
        <w:pStyle w:val="BodyText"/>
        <w:ind w:left="709" w:hanging="709"/>
        <w:rPr>
          <w:lang w:val="en-IE" w:eastAsia="en-IE"/>
        </w:rPr>
      </w:pPr>
      <w:r w:rsidRPr="00FD245E">
        <w:rPr>
          <w:lang w:val="en-IE" w:eastAsia="en-IE"/>
        </w:rPr>
        <w:t>•</w:t>
      </w:r>
      <w:r w:rsidRPr="00FD245E">
        <w:rPr>
          <w:lang w:val="en-IE" w:eastAsia="en-IE"/>
        </w:rPr>
        <w:tab/>
        <w:t xml:space="preserve">The Consultant shall procure, and at all times during the operation of the Contract keep in force with a reputable insurance company authorised to underwrite business in Ireland, a policy or policies sufficient to fully indemnify the Contracting Authority against any and all claims for which the Consultant may be liable under the Framework. The Policies must be placed with a reputable insurance company with a secure financial rating approved by AM Best, Moody or equivalent finance house.  </w:t>
      </w:r>
    </w:p>
    <w:p w14:paraId="7F4ABCDD" w14:textId="670042D8" w:rsidR="00FD245E" w:rsidRPr="00FD245E" w:rsidRDefault="00FD245E" w:rsidP="00FD245E">
      <w:pPr>
        <w:pStyle w:val="BodyText"/>
        <w:ind w:left="709" w:hanging="709"/>
        <w:rPr>
          <w:lang w:val="en-IE" w:eastAsia="en-IE"/>
        </w:rPr>
      </w:pPr>
      <w:r w:rsidRPr="00FD245E">
        <w:rPr>
          <w:lang w:val="en-IE" w:eastAsia="en-IE"/>
        </w:rPr>
        <w:t>•</w:t>
      </w:r>
      <w:r w:rsidRPr="00FD245E">
        <w:rPr>
          <w:lang w:val="en-IE" w:eastAsia="en-IE"/>
        </w:rPr>
        <w:tab/>
        <w:t xml:space="preserve">The Consultant shall upon demand provide to the Contracting Authority evidence that the said policy or policies are in full force and effect and shall provide certified extracts reasonably acceptable to the Contracting Authority. Such insurance shall in no event be cancelled or allowed to lapse by the Consultant during the term of the Contract. </w:t>
      </w:r>
    </w:p>
    <w:p w14:paraId="713C6264" w14:textId="37115030" w:rsidR="00FD245E" w:rsidRDefault="00FD245E" w:rsidP="00FD245E">
      <w:pPr>
        <w:pStyle w:val="BodyText"/>
        <w:rPr>
          <w:lang w:val="en-IE" w:eastAsia="en-IE"/>
        </w:rPr>
      </w:pPr>
      <w:r w:rsidRPr="00FD245E">
        <w:rPr>
          <w:lang w:val="en-IE" w:eastAsia="en-IE"/>
        </w:rPr>
        <w:t xml:space="preserve">Proof of insurance levels and an indemnity in favour of the Contracting Authority on </w:t>
      </w:r>
      <w:r w:rsidR="00DB43D9">
        <w:rPr>
          <w:lang w:val="en-IE" w:eastAsia="en-IE"/>
        </w:rPr>
        <w:t>insurance p</w:t>
      </w:r>
      <w:r w:rsidRPr="00FD245E">
        <w:rPr>
          <w:lang w:val="en-IE" w:eastAsia="en-IE"/>
        </w:rPr>
        <w:t xml:space="preserve">olicies will be required, prior to and will be a condition of award pursuant to this competition. </w:t>
      </w:r>
      <w:r w:rsidR="0035641E">
        <w:rPr>
          <w:lang w:val="en-IE" w:eastAsia="en-IE"/>
        </w:rPr>
        <w:t>Insurance levels required are</w:t>
      </w:r>
      <w:r w:rsidR="004A5660">
        <w:rPr>
          <w:lang w:val="en-IE" w:eastAsia="en-IE"/>
        </w:rPr>
        <w:t xml:space="preserve"> set out in</w:t>
      </w:r>
      <w:r w:rsidR="00221065">
        <w:rPr>
          <w:lang w:val="en-IE" w:eastAsia="en-IE"/>
        </w:rPr>
        <w:t xml:space="preserve"> SAQ document </w:t>
      </w:r>
      <w:r w:rsidR="004A5660">
        <w:rPr>
          <w:lang w:val="en-IE" w:eastAsia="en-IE"/>
        </w:rPr>
        <w:t>QC</w:t>
      </w:r>
      <w:r w:rsidR="00221065">
        <w:rPr>
          <w:lang w:val="en-IE" w:eastAsia="en-IE"/>
        </w:rPr>
        <w:t>2-part</w:t>
      </w:r>
      <w:r w:rsidR="00EC591D">
        <w:rPr>
          <w:lang w:val="en-IE" w:eastAsia="en-IE"/>
        </w:rPr>
        <w:t>-</w:t>
      </w:r>
      <w:r w:rsidR="00221065">
        <w:rPr>
          <w:lang w:val="en-IE" w:eastAsia="en-IE"/>
        </w:rPr>
        <w:t>1-v3.1</w:t>
      </w:r>
      <w:r w:rsidR="00DB43D9">
        <w:rPr>
          <w:lang w:val="en-IE" w:eastAsia="en-IE"/>
        </w:rPr>
        <w:t>.</w:t>
      </w:r>
      <w:r w:rsidR="005114E7">
        <w:rPr>
          <w:lang w:val="en-IE" w:eastAsia="en-IE"/>
        </w:rPr>
        <w:t xml:space="preserve"> </w:t>
      </w:r>
    </w:p>
    <w:p w14:paraId="5E1BDFEC" w14:textId="4A6A1A2F" w:rsidR="005114E7" w:rsidRDefault="005114E7" w:rsidP="005114E7">
      <w:pPr>
        <w:pStyle w:val="BodyText"/>
        <w:numPr>
          <w:ilvl w:val="0"/>
          <w:numId w:val="37"/>
        </w:numPr>
        <w:spacing w:after="0" w:line="20" w:lineRule="atLeast"/>
        <w:rPr>
          <w:lang w:val="en-IE" w:eastAsia="en-IE"/>
        </w:rPr>
      </w:pPr>
      <w:r>
        <w:rPr>
          <w:lang w:val="en-IE" w:eastAsia="en-IE"/>
        </w:rPr>
        <w:t>Employers Liability €13M</w:t>
      </w:r>
    </w:p>
    <w:p w14:paraId="15FED526" w14:textId="5C5974A5" w:rsidR="005114E7" w:rsidRDefault="005114E7" w:rsidP="005114E7">
      <w:pPr>
        <w:pStyle w:val="BodyText"/>
        <w:numPr>
          <w:ilvl w:val="0"/>
          <w:numId w:val="37"/>
        </w:numPr>
        <w:spacing w:after="0" w:line="20" w:lineRule="atLeast"/>
        <w:rPr>
          <w:lang w:val="en-IE" w:eastAsia="en-IE"/>
        </w:rPr>
      </w:pPr>
      <w:r>
        <w:rPr>
          <w:lang w:val="en-IE" w:eastAsia="en-IE"/>
        </w:rPr>
        <w:t>Public Liability €6.5M</w:t>
      </w:r>
    </w:p>
    <w:p w14:paraId="32FF7834" w14:textId="2C24822A" w:rsidR="005114E7" w:rsidRDefault="005114E7" w:rsidP="005114E7">
      <w:pPr>
        <w:pStyle w:val="BodyText"/>
        <w:numPr>
          <w:ilvl w:val="0"/>
          <w:numId w:val="37"/>
        </w:numPr>
        <w:spacing w:after="0" w:line="20" w:lineRule="atLeast"/>
        <w:rPr>
          <w:lang w:val="en-IE" w:eastAsia="en-IE"/>
        </w:rPr>
      </w:pPr>
      <w:r>
        <w:rPr>
          <w:lang w:val="en-IE" w:eastAsia="en-IE"/>
        </w:rPr>
        <w:t>Professional Indemnity €3.5M</w:t>
      </w:r>
    </w:p>
    <w:p w14:paraId="71B0D5BE" w14:textId="77777777" w:rsidR="005114E7" w:rsidRDefault="005114E7" w:rsidP="005114E7">
      <w:pPr>
        <w:pStyle w:val="BodyText"/>
        <w:spacing w:after="0" w:line="20" w:lineRule="atLeast"/>
        <w:ind w:left="720"/>
        <w:rPr>
          <w:lang w:val="en-IE" w:eastAsia="en-IE"/>
        </w:rPr>
      </w:pPr>
    </w:p>
    <w:p w14:paraId="3BD8DEB0" w14:textId="7EF41DF1" w:rsidR="00FD245E" w:rsidRDefault="00FD245E" w:rsidP="00FD245E">
      <w:pPr>
        <w:pStyle w:val="BodyText"/>
        <w:rPr>
          <w:lang w:val="en-IE" w:eastAsia="en-IE"/>
        </w:rPr>
      </w:pPr>
      <w:r w:rsidRPr="00FD245E">
        <w:rPr>
          <w:lang w:val="en-IE" w:eastAsia="en-IE"/>
        </w:rPr>
        <w:t>The successful Consultants must maintain these insurance levels required by Contracting Authority for the duration of the framework and must submit a copy of their insurance policy annually.</w:t>
      </w:r>
      <w:r w:rsidR="00CC4EE4">
        <w:rPr>
          <w:lang w:val="en-IE" w:eastAsia="en-IE"/>
        </w:rPr>
        <w:t xml:space="preserve"> </w:t>
      </w:r>
      <w:r w:rsidR="00CC4EE4" w:rsidRPr="00CC4EE4">
        <w:rPr>
          <w:lang w:val="en-IE" w:eastAsia="en-IE"/>
        </w:rPr>
        <w:t>Professional Indemnity Policies should be maintained for a period of 6 years post contract completion</w:t>
      </w:r>
      <w:r w:rsidR="00317DE1">
        <w:rPr>
          <w:lang w:val="en-IE" w:eastAsia="en-IE"/>
        </w:rPr>
        <w:t>.</w:t>
      </w:r>
      <w:r w:rsidR="00CC4EE4">
        <w:rPr>
          <w:lang w:val="en-IE" w:eastAsia="en-IE"/>
        </w:rPr>
        <w:t xml:space="preserve"> </w:t>
      </w:r>
    </w:p>
    <w:p w14:paraId="54728E75" w14:textId="457D5ED4" w:rsidR="00FE2036" w:rsidRDefault="00FE2036" w:rsidP="00FE2036">
      <w:pPr>
        <w:pStyle w:val="Heading2"/>
        <w:numPr>
          <w:ilvl w:val="1"/>
          <w:numId w:val="28"/>
        </w:numPr>
        <w:ind w:left="142" w:hanging="142"/>
      </w:pPr>
      <w:bookmarkStart w:id="73" w:name="_Toc196294374"/>
      <w:r>
        <w:t>Contract Management</w:t>
      </w:r>
      <w:bookmarkEnd w:id="73"/>
    </w:p>
    <w:p w14:paraId="3A343932" w14:textId="77777777" w:rsidR="00FE2036" w:rsidRPr="00FE2036" w:rsidRDefault="00FE2036" w:rsidP="00FE2036">
      <w:pPr>
        <w:pStyle w:val="BodyText"/>
        <w:rPr>
          <w:lang w:val="en-IE" w:eastAsia="en-IE"/>
        </w:rPr>
      </w:pPr>
      <w:r w:rsidRPr="00FE2036">
        <w:rPr>
          <w:lang w:val="en-IE" w:eastAsia="en-IE"/>
        </w:rPr>
        <w:t>The Contracting Authority requires tenderers to nominate a dedicated Contract Manager who will act as the main point of contact for the duration of the framework.  This person shall have the authority to deal with all matters in relation to contracts and be responsible for the satisfactory delivery of the services required.  The duties of the Contract Manager will include the following:</w:t>
      </w:r>
    </w:p>
    <w:p w14:paraId="00830C42" w14:textId="77777777" w:rsidR="00FE2036" w:rsidRPr="00FE2036" w:rsidRDefault="00FE2036" w:rsidP="00FE2036">
      <w:pPr>
        <w:pStyle w:val="BodyText"/>
        <w:rPr>
          <w:lang w:val="en-IE" w:eastAsia="en-IE"/>
        </w:rPr>
      </w:pPr>
      <w:r w:rsidRPr="00FE2036">
        <w:rPr>
          <w:lang w:val="en-IE" w:eastAsia="en-IE"/>
        </w:rPr>
        <w:t>•</w:t>
      </w:r>
      <w:r w:rsidRPr="00FE2036">
        <w:rPr>
          <w:lang w:val="en-IE" w:eastAsia="en-IE"/>
        </w:rPr>
        <w:tab/>
        <w:t>Overall responsibility for a good working relationship with the Contracting Authority;</w:t>
      </w:r>
    </w:p>
    <w:p w14:paraId="3E79F254" w14:textId="77777777" w:rsidR="00FE2036" w:rsidRPr="00FE2036" w:rsidRDefault="00FE2036" w:rsidP="00FE2036">
      <w:pPr>
        <w:pStyle w:val="BodyText"/>
        <w:rPr>
          <w:lang w:val="en-IE" w:eastAsia="en-IE"/>
        </w:rPr>
      </w:pPr>
      <w:r w:rsidRPr="00FE2036">
        <w:rPr>
          <w:lang w:val="en-IE" w:eastAsia="en-IE"/>
        </w:rPr>
        <w:t>•</w:t>
      </w:r>
      <w:r w:rsidRPr="00FE2036">
        <w:rPr>
          <w:lang w:val="en-IE" w:eastAsia="en-IE"/>
        </w:rPr>
        <w:tab/>
        <w:t>Manage the assignment process and ensure all parties are fully briefed at all times.</w:t>
      </w:r>
    </w:p>
    <w:p w14:paraId="67525CC0" w14:textId="77777777" w:rsidR="00FE2036" w:rsidRPr="00FE2036" w:rsidRDefault="00FE2036" w:rsidP="00FE2036">
      <w:pPr>
        <w:pStyle w:val="BodyText"/>
        <w:rPr>
          <w:lang w:val="en-IE" w:eastAsia="en-IE"/>
        </w:rPr>
      </w:pPr>
      <w:r w:rsidRPr="00FE2036">
        <w:rPr>
          <w:lang w:val="en-IE" w:eastAsia="en-IE"/>
        </w:rPr>
        <w:t>•</w:t>
      </w:r>
      <w:r w:rsidRPr="00FE2036">
        <w:rPr>
          <w:lang w:val="en-IE" w:eastAsia="en-IE"/>
        </w:rPr>
        <w:tab/>
        <w:t>Be fully available and contactable during operational hours to Contracting Authority staff.</w:t>
      </w:r>
    </w:p>
    <w:p w14:paraId="5DBD2E0E" w14:textId="77777777" w:rsidR="00FE2036" w:rsidRPr="00FE2036" w:rsidRDefault="00FE2036" w:rsidP="00FE2036">
      <w:pPr>
        <w:pStyle w:val="BodyText"/>
        <w:rPr>
          <w:lang w:val="en-IE" w:eastAsia="en-IE"/>
        </w:rPr>
      </w:pPr>
      <w:r w:rsidRPr="00FE2036">
        <w:rPr>
          <w:lang w:val="en-IE" w:eastAsia="en-IE"/>
        </w:rPr>
        <w:t>•</w:t>
      </w:r>
      <w:r w:rsidRPr="00FE2036">
        <w:rPr>
          <w:lang w:val="en-IE" w:eastAsia="en-IE"/>
        </w:rPr>
        <w:tab/>
        <w:t>Meet as and when required to review the relationship and examine performance;</w:t>
      </w:r>
    </w:p>
    <w:p w14:paraId="3D9CB60A" w14:textId="77777777" w:rsidR="00FE2036" w:rsidRPr="00FE2036" w:rsidRDefault="00FE2036" w:rsidP="00FE2036">
      <w:pPr>
        <w:pStyle w:val="BodyText"/>
        <w:ind w:left="709" w:hanging="709"/>
        <w:rPr>
          <w:lang w:val="en-IE" w:eastAsia="en-IE"/>
        </w:rPr>
      </w:pPr>
      <w:r w:rsidRPr="00FE2036">
        <w:rPr>
          <w:lang w:val="en-IE" w:eastAsia="en-IE"/>
        </w:rPr>
        <w:t>•</w:t>
      </w:r>
      <w:r w:rsidRPr="00FE2036">
        <w:rPr>
          <w:lang w:val="en-IE" w:eastAsia="en-IE"/>
        </w:rPr>
        <w:tab/>
        <w:t xml:space="preserve">Deal with disputes, complaints, queries or concerns that cannot be immediately adequately resolved;   </w:t>
      </w:r>
    </w:p>
    <w:p w14:paraId="40006723" w14:textId="77777777" w:rsidR="00FE2036" w:rsidRPr="00FE2036" w:rsidRDefault="00FE2036" w:rsidP="00FE2036">
      <w:pPr>
        <w:pStyle w:val="BodyText"/>
        <w:ind w:left="709" w:hanging="709"/>
        <w:rPr>
          <w:lang w:val="en-IE" w:eastAsia="en-IE"/>
        </w:rPr>
      </w:pPr>
      <w:r w:rsidRPr="00FE2036">
        <w:rPr>
          <w:lang w:val="en-IE" w:eastAsia="en-IE"/>
        </w:rPr>
        <w:t>•</w:t>
      </w:r>
      <w:r w:rsidRPr="00FE2036">
        <w:rPr>
          <w:lang w:val="en-IE" w:eastAsia="en-IE"/>
        </w:rPr>
        <w:tab/>
        <w:t>Regularly give and receive both formal and informal feedback on the relationship, workloads, processes, areas and suggestions for improvement and cost savings;</w:t>
      </w:r>
    </w:p>
    <w:p w14:paraId="6A818AD2" w14:textId="77777777" w:rsidR="00FE2036" w:rsidRPr="00FE2036" w:rsidRDefault="00FE2036" w:rsidP="00FE2036">
      <w:pPr>
        <w:pStyle w:val="BodyText"/>
        <w:ind w:left="709" w:hanging="709"/>
        <w:rPr>
          <w:lang w:val="en-IE" w:eastAsia="en-IE"/>
        </w:rPr>
      </w:pPr>
      <w:r w:rsidRPr="00FE2036">
        <w:rPr>
          <w:lang w:val="en-IE" w:eastAsia="en-IE"/>
        </w:rPr>
        <w:t>•</w:t>
      </w:r>
      <w:r w:rsidRPr="00FE2036">
        <w:rPr>
          <w:lang w:val="en-IE" w:eastAsia="en-IE"/>
        </w:rPr>
        <w:tab/>
        <w:t xml:space="preserve">Provide details of contract management reports proposed including content, financial payment, frequency, etc.   </w:t>
      </w:r>
    </w:p>
    <w:p w14:paraId="06B783B8" w14:textId="77777777" w:rsidR="00FE2036" w:rsidRPr="00FE2036" w:rsidRDefault="00FE2036" w:rsidP="00FE2036">
      <w:pPr>
        <w:pStyle w:val="BodyText"/>
        <w:rPr>
          <w:lang w:val="en-IE" w:eastAsia="en-IE"/>
        </w:rPr>
      </w:pPr>
      <w:r w:rsidRPr="00FE2036">
        <w:rPr>
          <w:lang w:val="en-IE" w:eastAsia="en-IE"/>
        </w:rPr>
        <w:t>•</w:t>
      </w:r>
      <w:r w:rsidRPr="00FE2036">
        <w:rPr>
          <w:lang w:val="en-IE" w:eastAsia="en-IE"/>
        </w:rPr>
        <w:tab/>
        <w:t>Provide a summary file of activity on a monthly / annual basis</w:t>
      </w:r>
    </w:p>
    <w:p w14:paraId="4944CCC3" w14:textId="77777777" w:rsidR="00FE2036" w:rsidRPr="00FE2036" w:rsidRDefault="00FE2036" w:rsidP="00FE2036">
      <w:pPr>
        <w:pStyle w:val="BodyText"/>
        <w:ind w:left="709" w:hanging="709"/>
        <w:rPr>
          <w:lang w:val="en-IE" w:eastAsia="en-IE"/>
        </w:rPr>
      </w:pPr>
      <w:r w:rsidRPr="00FE2036">
        <w:rPr>
          <w:lang w:val="en-IE" w:eastAsia="en-IE"/>
        </w:rPr>
        <w:t>•</w:t>
      </w:r>
      <w:r w:rsidRPr="00FE2036">
        <w:rPr>
          <w:lang w:val="en-IE" w:eastAsia="en-IE"/>
        </w:rPr>
        <w:tab/>
        <w:t>Proactively discuss with the Contracting Authority ways of improving efficiency regarding service delivery in general.</w:t>
      </w:r>
    </w:p>
    <w:p w14:paraId="6F70210A" w14:textId="77777777" w:rsidR="00FE2036" w:rsidRPr="00FE2036" w:rsidRDefault="00FE2036" w:rsidP="00FE2036">
      <w:pPr>
        <w:pStyle w:val="BodyText"/>
        <w:rPr>
          <w:lang w:val="en-IE" w:eastAsia="en-IE"/>
        </w:rPr>
      </w:pPr>
      <w:r w:rsidRPr="00FE2036">
        <w:rPr>
          <w:lang w:val="en-IE" w:eastAsia="en-IE"/>
        </w:rPr>
        <w:t xml:space="preserve">In addition, the following must be supported: </w:t>
      </w:r>
    </w:p>
    <w:p w14:paraId="3BB0726C" w14:textId="77777777" w:rsidR="00FE2036" w:rsidRPr="00FE2036" w:rsidRDefault="00FE2036" w:rsidP="00FE2036">
      <w:pPr>
        <w:pStyle w:val="BodyText"/>
        <w:ind w:left="709" w:hanging="709"/>
        <w:rPr>
          <w:lang w:val="en-IE" w:eastAsia="en-IE"/>
        </w:rPr>
      </w:pPr>
      <w:r w:rsidRPr="00FE2036">
        <w:rPr>
          <w:lang w:val="en-IE" w:eastAsia="en-IE"/>
        </w:rPr>
        <w:t>(a)</w:t>
      </w:r>
      <w:r w:rsidRPr="00FE2036">
        <w:rPr>
          <w:lang w:val="en-IE" w:eastAsia="en-IE"/>
        </w:rPr>
        <w:tab/>
        <w:t xml:space="preserve">Meetings on a monthly basis between the Contract Manager and the Contracting Authority nominated contact to review all issues regarding the contract. </w:t>
      </w:r>
    </w:p>
    <w:p w14:paraId="7B226163" w14:textId="77777777" w:rsidR="00FE2036" w:rsidRPr="00FE2036" w:rsidRDefault="00FE2036" w:rsidP="00FE2036">
      <w:pPr>
        <w:pStyle w:val="BodyText"/>
        <w:ind w:left="709" w:hanging="709"/>
        <w:rPr>
          <w:lang w:val="en-IE" w:eastAsia="en-IE"/>
        </w:rPr>
      </w:pPr>
      <w:r w:rsidRPr="00FE2036">
        <w:rPr>
          <w:lang w:val="en-IE" w:eastAsia="en-IE"/>
        </w:rPr>
        <w:t>(b)</w:t>
      </w:r>
      <w:r w:rsidRPr="00FE2036">
        <w:rPr>
          <w:lang w:val="en-IE" w:eastAsia="en-IE"/>
        </w:rPr>
        <w:tab/>
        <w:t xml:space="preserve">Volume usage records to support monthly invoicing is to be issued to the post owner/budget holder or their nominee for their information/ approval of payment. </w:t>
      </w:r>
    </w:p>
    <w:p w14:paraId="70FF1018" w14:textId="77777777" w:rsidR="00FE2036" w:rsidRPr="00FE2036" w:rsidRDefault="00FE2036" w:rsidP="00FE2036">
      <w:pPr>
        <w:pStyle w:val="BodyText"/>
        <w:rPr>
          <w:lang w:val="en-IE" w:eastAsia="en-IE"/>
        </w:rPr>
      </w:pPr>
      <w:r w:rsidRPr="00FE2036">
        <w:rPr>
          <w:lang w:val="en-IE" w:eastAsia="en-IE"/>
        </w:rPr>
        <w:t xml:space="preserve">NOTE 1: Tenderers will note that contract management activities will be non-billable. </w:t>
      </w:r>
    </w:p>
    <w:p w14:paraId="75ABB784" w14:textId="1F1C2F0A" w:rsidR="00FE2036" w:rsidRDefault="00FE2036" w:rsidP="00FE2036">
      <w:pPr>
        <w:pStyle w:val="BodyText"/>
        <w:rPr>
          <w:lang w:val="en-IE" w:eastAsia="en-IE"/>
        </w:rPr>
      </w:pPr>
      <w:r w:rsidRPr="00FE2036">
        <w:rPr>
          <w:lang w:val="en-IE" w:eastAsia="en-IE"/>
        </w:rPr>
        <w:t>NOTE 2: A backup Contract Manager must also be available to cover periods of holiday/illness etc. Their details must be made available to the Contracting Authority when the Framework commences.</w:t>
      </w:r>
    </w:p>
    <w:p w14:paraId="17454583" w14:textId="0B505B3D" w:rsidR="00FE2036" w:rsidRDefault="00FE2036" w:rsidP="00FE2036">
      <w:pPr>
        <w:pStyle w:val="Heading2"/>
        <w:numPr>
          <w:ilvl w:val="1"/>
          <w:numId w:val="28"/>
        </w:numPr>
        <w:ind w:left="142" w:hanging="207"/>
      </w:pPr>
      <w:bookmarkStart w:id="74" w:name="_Toc196294375"/>
      <w:r>
        <w:t>Operation of A Service Level Agreement</w:t>
      </w:r>
      <w:bookmarkEnd w:id="74"/>
    </w:p>
    <w:p w14:paraId="2FE15DD1" w14:textId="14AD26AB" w:rsidR="00FE2036" w:rsidRPr="00FE2036" w:rsidRDefault="00FE2036" w:rsidP="00FE2036">
      <w:pPr>
        <w:pStyle w:val="BodyText"/>
        <w:rPr>
          <w:lang w:val="en-IE" w:eastAsia="en-IE"/>
        </w:rPr>
      </w:pPr>
      <w:r w:rsidRPr="00FE2036">
        <w:rPr>
          <w:lang w:val="en-IE" w:eastAsia="en-IE"/>
        </w:rPr>
        <w:t xml:space="preserve">A Service Level Agreement with agreed Key Performance Indicators will be the process for measuring performance. </w:t>
      </w:r>
    </w:p>
    <w:p w14:paraId="095DF178" w14:textId="720437DB" w:rsidR="00FD245E" w:rsidRPr="00FE2036" w:rsidRDefault="00FE2036" w:rsidP="00E417FE">
      <w:pPr>
        <w:pStyle w:val="BodyText"/>
      </w:pPr>
      <w:r w:rsidRPr="00FE2036">
        <w:rPr>
          <w:lang w:val="en-IE" w:eastAsia="en-IE"/>
        </w:rPr>
        <w:t>The precise KPIs for performance monitoring will be agreed with the Framework Member. It is expected that the successful tenderer(s) will take a proactive role in monitoring performance with a view to making appropriate recommendations where necessary for continuous improvement.</w:t>
      </w:r>
      <w:r>
        <w:br w:type="page"/>
      </w:r>
    </w:p>
    <w:p w14:paraId="1CEAAC6A" w14:textId="7976897D" w:rsidR="00086A2E" w:rsidRPr="006C4D94" w:rsidRDefault="005A3975" w:rsidP="006C4D94">
      <w:pPr>
        <w:pStyle w:val="Heading1"/>
        <w:ind w:hanging="720"/>
      </w:pPr>
      <w:bookmarkStart w:id="75" w:name="_Toc196294376"/>
      <w:r>
        <w:lastRenderedPageBreak/>
        <w:t>I</w:t>
      </w:r>
      <w:r w:rsidR="00E400A5">
        <w:t>nstructions to Tenderers</w:t>
      </w:r>
      <w:bookmarkStart w:id="76" w:name="_Toc188727548"/>
      <w:bookmarkStart w:id="77" w:name="_Toc188857050"/>
      <w:bookmarkStart w:id="78" w:name="_Toc188857093"/>
      <w:bookmarkStart w:id="79" w:name="_Toc195622037"/>
      <w:bookmarkEnd w:id="75"/>
      <w:bookmarkEnd w:id="76"/>
      <w:bookmarkEnd w:id="77"/>
      <w:bookmarkEnd w:id="78"/>
      <w:bookmarkEnd w:id="79"/>
    </w:p>
    <w:p w14:paraId="63A25B36" w14:textId="2E231F8C" w:rsidR="00E400A5" w:rsidRDefault="006C4D94" w:rsidP="00755F86">
      <w:pPr>
        <w:pStyle w:val="Heading2"/>
        <w:numPr>
          <w:ilvl w:val="1"/>
          <w:numId w:val="28"/>
        </w:numPr>
        <w:ind w:left="709" w:hanging="709"/>
      </w:pPr>
      <w:bookmarkStart w:id="80" w:name="_Toc196294377"/>
      <w:r>
        <w:t xml:space="preserve">Submission of Tenders via </w:t>
      </w:r>
      <w:hyperlink r:id="rId26" w:history="1">
        <w:r w:rsidRPr="00A35A4F">
          <w:rPr>
            <w:rStyle w:val="Hyperlink"/>
          </w:rPr>
          <w:t>www.etenders.gov.ie</w:t>
        </w:r>
        <w:bookmarkEnd w:id="80"/>
      </w:hyperlink>
    </w:p>
    <w:p w14:paraId="26FE3EDC" w14:textId="4DAAB313" w:rsidR="006C4D94" w:rsidRPr="006C4D94" w:rsidRDefault="006C4D94" w:rsidP="006C4D94">
      <w:pPr>
        <w:pStyle w:val="BodyText"/>
        <w:rPr>
          <w:lang w:val="en-IE" w:eastAsia="en-IE"/>
        </w:rPr>
      </w:pPr>
      <w:r w:rsidRPr="006C4D94">
        <w:rPr>
          <w:lang w:val="en-IE" w:eastAsia="en-IE"/>
        </w:rPr>
        <w:t>The Contracting Authority is using the Tender Postbox facility and tenders must be submitted electronically via the e</w:t>
      </w:r>
      <w:r>
        <w:rPr>
          <w:lang w:val="en-IE" w:eastAsia="en-IE"/>
        </w:rPr>
        <w:t>T</w:t>
      </w:r>
      <w:r w:rsidRPr="006C4D94">
        <w:rPr>
          <w:lang w:val="en-IE" w:eastAsia="en-IE"/>
        </w:rPr>
        <w:t>enders postbox facility on www.etenders.gov.ie only. Tenderers must ensure that they give sufficient time to upload their tender response.  All Tenders submitted in soft copy must be compiled such that they can be read immediately using PDF readers.</w:t>
      </w:r>
    </w:p>
    <w:p w14:paraId="02BE53A5" w14:textId="77777777" w:rsidR="006C4D94" w:rsidRPr="006C4D94" w:rsidRDefault="006C4D94" w:rsidP="006C4D94">
      <w:pPr>
        <w:pStyle w:val="BodyText"/>
        <w:rPr>
          <w:lang w:val="en-IE" w:eastAsia="en-IE"/>
        </w:rPr>
      </w:pPr>
      <w:r w:rsidRPr="006C4D94">
        <w:rPr>
          <w:lang w:val="en-IE" w:eastAsia="en-IE"/>
        </w:rPr>
        <w:t>The Contracting Authority is not responsible for corruption in electronic documents. Tenderers must ensure electronic documents are not corrupt.</w:t>
      </w:r>
    </w:p>
    <w:p w14:paraId="5A9B8CA0" w14:textId="77777777" w:rsidR="006C4D94" w:rsidRPr="006C4D94" w:rsidRDefault="006C4D94" w:rsidP="006C4D94">
      <w:pPr>
        <w:pStyle w:val="BodyText"/>
        <w:rPr>
          <w:lang w:val="en-IE" w:eastAsia="en-IE"/>
        </w:rPr>
      </w:pPr>
      <w:r w:rsidRPr="006C4D94">
        <w:rPr>
          <w:lang w:val="en-IE" w:eastAsia="en-IE"/>
        </w:rPr>
        <w:t xml:space="preserve">In responding to this tender all tenders must follow the format of the tender document and respond to each element of the tender document in the order as set out in this RFT.  Tenderers should produce their response as a SINGLE UPLOADED DOCUMENT, if possible, which is clearly labelled, page numbered and indexed. </w:t>
      </w:r>
    </w:p>
    <w:p w14:paraId="1C6EABFF" w14:textId="77777777" w:rsidR="006C4D94" w:rsidRPr="006C4D94" w:rsidRDefault="006C4D94" w:rsidP="006C4D94">
      <w:pPr>
        <w:pStyle w:val="BodyText"/>
        <w:rPr>
          <w:lang w:val="en-IE" w:eastAsia="en-IE"/>
        </w:rPr>
      </w:pPr>
      <w:r w:rsidRPr="006C4D94">
        <w:rPr>
          <w:lang w:val="en-IE" w:eastAsia="en-IE"/>
        </w:rPr>
        <w:t>Tenderers must ensure that they give themselves sufficient time to upload and submit all required tender documentation before the tender closing date/time. Tenderers should take into account the fact that upload speeds vary. There is a maximum of 2.14 GB for individual files sent to the electronic postbox and a one-hour limit for upload. In order to submit a document to the electronic postbox, please note that you must click “Submit Response”. After submitting you can still modify and re-send your response up until response deadline. Tenderers should be aware that the ‘Submit Response’ button will be disabled automatically upon the expiration of the response deadline.</w:t>
      </w:r>
    </w:p>
    <w:p w14:paraId="1C5B3E8E" w14:textId="555D4ABA" w:rsidR="006C4D94" w:rsidRDefault="006C4D94" w:rsidP="006C4D94">
      <w:pPr>
        <w:pStyle w:val="BodyText"/>
        <w:rPr>
          <w:lang w:val="en-IE" w:eastAsia="en-IE"/>
        </w:rPr>
      </w:pPr>
      <w:r w:rsidRPr="006C4D94">
        <w:rPr>
          <w:lang w:val="en-IE" w:eastAsia="en-IE"/>
        </w:rPr>
        <w:t>Tenderers not familiar with uploading on eTenders should ensure they familiarise themselves with the process.</w:t>
      </w:r>
    </w:p>
    <w:tbl>
      <w:tblPr>
        <w:tblStyle w:val="TableGrid"/>
        <w:tblW w:w="0" w:type="auto"/>
        <w:tblLook w:val="04A0" w:firstRow="1" w:lastRow="0" w:firstColumn="1" w:lastColumn="0" w:noHBand="0" w:noVBand="1"/>
      </w:tblPr>
      <w:tblGrid>
        <w:gridCol w:w="3114"/>
        <w:gridCol w:w="5902"/>
      </w:tblGrid>
      <w:tr w:rsidR="002269B6" w:rsidRPr="002269B6" w14:paraId="62E0000F" w14:textId="77777777" w:rsidTr="00184160">
        <w:trPr>
          <w:cnfStyle w:val="100000000000" w:firstRow="1" w:lastRow="0" w:firstColumn="0" w:lastColumn="0" w:oddVBand="0" w:evenVBand="0" w:oddHBand="0" w:evenHBand="0" w:firstRowFirstColumn="0" w:firstRowLastColumn="0" w:lastRowFirstColumn="0" w:lastRowLastColumn="0"/>
        </w:trPr>
        <w:tc>
          <w:tcPr>
            <w:tcW w:w="3114" w:type="dxa"/>
            <w:shd w:val="clear" w:color="auto" w:fill="808080" w:themeFill="background2" w:themeFillShade="80"/>
          </w:tcPr>
          <w:p w14:paraId="1ADE0C73" w14:textId="1D6C79C3" w:rsidR="002269B6" w:rsidRPr="002269B6" w:rsidRDefault="002269B6" w:rsidP="002269B6">
            <w:pPr>
              <w:pStyle w:val="BodyText"/>
              <w:rPr>
                <w:color w:val="FFFFFF" w:themeColor="background1"/>
                <w:lang w:val="en-US"/>
              </w:rPr>
            </w:pPr>
            <w:r w:rsidRPr="002269B6">
              <w:rPr>
                <w:color w:val="FFFFFF" w:themeColor="background1"/>
                <w:lang w:val="en-US"/>
              </w:rPr>
              <w:t>The closing date for tenders is</w:t>
            </w:r>
          </w:p>
        </w:tc>
        <w:tc>
          <w:tcPr>
            <w:tcW w:w="5902" w:type="dxa"/>
          </w:tcPr>
          <w:p w14:paraId="5390537F" w14:textId="429C7F60" w:rsidR="002269B6" w:rsidRPr="002269B6" w:rsidRDefault="0069617A" w:rsidP="002269B6">
            <w:pPr>
              <w:pStyle w:val="BodyText"/>
              <w:rPr>
                <w:lang w:val="en-US"/>
              </w:rPr>
            </w:pPr>
            <w:r>
              <w:rPr>
                <w:lang w:val="en-US"/>
              </w:rPr>
              <w:t>29</w:t>
            </w:r>
            <w:r w:rsidR="00AA1BD5">
              <w:rPr>
                <w:lang w:val="en-US"/>
              </w:rPr>
              <w:t>/08/2025 at 12:00pm</w:t>
            </w:r>
          </w:p>
        </w:tc>
      </w:tr>
    </w:tbl>
    <w:p w14:paraId="32CF7E69" w14:textId="77777777" w:rsidR="002269B6" w:rsidRDefault="002269B6" w:rsidP="006C4D94">
      <w:pPr>
        <w:pStyle w:val="BodyText"/>
        <w:rPr>
          <w:lang w:val="en-IE" w:eastAsia="en-IE"/>
        </w:rPr>
      </w:pPr>
    </w:p>
    <w:p w14:paraId="7708A78B" w14:textId="64A8D1B1" w:rsidR="002269B6" w:rsidRPr="006C4D94" w:rsidRDefault="002269B6" w:rsidP="006C4D94">
      <w:pPr>
        <w:pStyle w:val="BodyText"/>
        <w:rPr>
          <w:lang w:val="en-IE" w:eastAsia="en-IE"/>
        </w:rPr>
      </w:pPr>
      <w:r w:rsidRPr="002269B6">
        <w:rPr>
          <w:lang w:val="en-IE" w:eastAsia="en-IE"/>
        </w:rPr>
        <w:t>It is the responsibility of the tenderer to ensure that their tender is complete and is uploaded by the designated deadline. Tenders that are received late or via other means WILL NOT be considered in this public procurement competition</w:t>
      </w:r>
      <w:r>
        <w:rPr>
          <w:lang w:val="en-IE" w:eastAsia="en-IE"/>
        </w:rPr>
        <w:t>.</w:t>
      </w:r>
    </w:p>
    <w:p w14:paraId="54B8A282" w14:textId="6E9E5D52" w:rsidR="00E400A5" w:rsidRDefault="00E400A5" w:rsidP="00755F86">
      <w:pPr>
        <w:pStyle w:val="Heading2"/>
        <w:numPr>
          <w:ilvl w:val="1"/>
          <w:numId w:val="28"/>
        </w:numPr>
        <w:ind w:left="709" w:hanging="709"/>
      </w:pPr>
      <w:bookmarkStart w:id="81" w:name="_Toc196294378"/>
      <w:r>
        <w:t>Queries</w:t>
      </w:r>
      <w:bookmarkEnd w:id="81"/>
    </w:p>
    <w:p w14:paraId="74C57B9F" w14:textId="77777777" w:rsidR="00EC7C22" w:rsidRDefault="00E400A5" w:rsidP="00E400A5">
      <w:pPr>
        <w:pStyle w:val="BodyText"/>
      </w:pPr>
      <w:r>
        <w:t>All queries regarding this competition should be submitted via the E</w:t>
      </w:r>
      <w:r>
        <w:rPr>
          <w:rFonts w:ascii="Cambria Math" w:hAnsi="Cambria Math" w:cs="Cambria Math"/>
        </w:rPr>
        <w:t>‐</w:t>
      </w:r>
      <w:r>
        <w:t>Tenders query process, clearly marked with the subject line</w:t>
      </w:r>
      <w:r w:rsidR="00EC7C22">
        <w:t>:</w:t>
      </w:r>
    </w:p>
    <w:p w14:paraId="4A3F39B5" w14:textId="1CD4A84B" w:rsidR="00E400A5" w:rsidRDefault="00E400A5" w:rsidP="002269B6">
      <w:pPr>
        <w:pStyle w:val="BodyText"/>
      </w:pPr>
      <w:r>
        <w:rPr>
          <w:rFonts w:ascii="Arial" w:hAnsi="Arial" w:cs="Arial"/>
        </w:rPr>
        <w:t>‘</w:t>
      </w:r>
      <w:r>
        <w:t xml:space="preserve">QUERY: </w:t>
      </w:r>
      <w:r w:rsidR="002269B6">
        <w:t>Single-Operator Framework Agreement - Provision of Reinstatement Cost Consultancy Services</w:t>
      </w:r>
      <w:r>
        <w:rPr>
          <w:rFonts w:ascii="Arial" w:hAnsi="Arial" w:cs="Arial"/>
        </w:rPr>
        <w:t>’</w:t>
      </w:r>
      <w:r>
        <w:t xml:space="preserve"> The closing date for receipt of such queries is </w:t>
      </w:r>
      <w:r w:rsidR="00AA1BD5">
        <w:t>12:00 (local time) on 1</w:t>
      </w:r>
      <w:r w:rsidR="0069617A">
        <w:t>5</w:t>
      </w:r>
      <w:r w:rsidR="00AA1BD5">
        <w:t>/08/2025</w:t>
      </w:r>
    </w:p>
    <w:p w14:paraId="64EDCAB2" w14:textId="77777777" w:rsidR="00E400A5" w:rsidRDefault="00E400A5" w:rsidP="00E400A5">
      <w:pPr>
        <w:pStyle w:val="BodyText"/>
      </w:pPr>
      <w:r>
        <w:t>The following additional conditions govern the submission of queries:</w:t>
      </w:r>
    </w:p>
    <w:p w14:paraId="1185EBCE" w14:textId="3D081629" w:rsidR="00E400A5" w:rsidRDefault="00E400A5" w:rsidP="002F41CC">
      <w:pPr>
        <w:pStyle w:val="BodyText"/>
        <w:numPr>
          <w:ilvl w:val="0"/>
          <w:numId w:val="25"/>
        </w:numPr>
      </w:pPr>
      <w:r>
        <w:t>No approach of any kind should be made to any other person within, or associated with, the Contracting Authority in connection with this Procurement Procedure. Any such approach may, at the absolute discretion of the Contracting Authority, result in the elimination of the tenderer in question from this process.</w:t>
      </w:r>
    </w:p>
    <w:p w14:paraId="59B3E8D8" w14:textId="1480F3A3" w:rsidR="00E400A5" w:rsidRDefault="00E400A5" w:rsidP="002F41CC">
      <w:pPr>
        <w:pStyle w:val="BodyText"/>
        <w:numPr>
          <w:ilvl w:val="0"/>
          <w:numId w:val="25"/>
        </w:numPr>
      </w:pPr>
      <w:r>
        <w:t>The Contracting Authority will endeavour to respond to all reasonable queries received but does not undertake to respond to all queries indiscriminately.</w:t>
      </w:r>
    </w:p>
    <w:p w14:paraId="29DD9656" w14:textId="1369ECCA" w:rsidR="00666E30" w:rsidRDefault="00666E30" w:rsidP="00666E30">
      <w:pPr>
        <w:pStyle w:val="BodyText"/>
      </w:pPr>
      <w:r>
        <w:lastRenderedPageBreak/>
        <w:t xml:space="preserve">Responses to queries will be issued via eTenders to all parties, in order to ensure that no party has an unfair advantage over any other. </w:t>
      </w:r>
    </w:p>
    <w:p w14:paraId="6BBA90B1" w14:textId="34DD3DA1" w:rsidR="00666E30" w:rsidRDefault="00666E30" w:rsidP="00666E30">
      <w:pPr>
        <w:pStyle w:val="BodyText"/>
      </w:pPr>
      <w:r>
        <w:t>For the purpose of circulating responses queries will be edited to avoid disclosing the identity of the querist, and any sensitive information included in the query should be clearly indicated.  Please note that the Contracting Authority cannot accept responsibility for information relayed (or not relayed) via third parties.</w:t>
      </w:r>
    </w:p>
    <w:p w14:paraId="53729271" w14:textId="77777777" w:rsidR="00666E30" w:rsidRDefault="00E400A5" w:rsidP="00E400A5">
      <w:pPr>
        <w:pStyle w:val="BodyText"/>
      </w:pPr>
      <w:r>
        <w:t>In the event that a tenderer considers a query confidential or commercially sensitive, it must mark the query accordingly. If the Contracting Authority considers, at its absolute discretion, that the query or related response should be properly regarded as confidential or commercially sensitive, the nature of the query and its response will be held as confidential, subject to the Contracting Authority’s obligations under law.</w:t>
      </w:r>
    </w:p>
    <w:p w14:paraId="27547051" w14:textId="2E97132C" w:rsidR="00E400A5" w:rsidRDefault="00E400A5" w:rsidP="00755F86">
      <w:pPr>
        <w:pStyle w:val="Heading2"/>
        <w:numPr>
          <w:ilvl w:val="1"/>
          <w:numId w:val="28"/>
        </w:numPr>
        <w:ind w:left="709" w:hanging="709"/>
      </w:pPr>
      <w:bookmarkStart w:id="82" w:name="_Toc196294379"/>
      <w:r>
        <w:t>S</w:t>
      </w:r>
      <w:r w:rsidR="00666E30">
        <w:t>ufficiency &amp; Accuracy of Tender</w:t>
      </w:r>
      <w:bookmarkEnd w:id="82"/>
    </w:p>
    <w:p w14:paraId="39EC0025" w14:textId="6BDD732F" w:rsidR="00666E30" w:rsidRPr="00666E30" w:rsidRDefault="00666E30" w:rsidP="00666E30">
      <w:pPr>
        <w:pStyle w:val="BodyText"/>
        <w:rPr>
          <w:b/>
          <w:bCs/>
        </w:rPr>
      </w:pPr>
      <w:r>
        <w:t>Tenderers will be deemed to have examined all the documents enclosed and by their own independent observations and enquiries will be held to have fully informed themselves as to the nature and extent of the requirements of the tender.</w:t>
      </w:r>
    </w:p>
    <w:p w14:paraId="2DCE5B04" w14:textId="77777777" w:rsidR="00666E30" w:rsidRDefault="00666E30" w:rsidP="00666E30">
      <w:pPr>
        <w:pStyle w:val="BodyText"/>
      </w:pPr>
      <w:r>
        <w:t xml:space="preserve">Tenderers are cautioned to check the accuracy of their tender prior to submission. A tender found containing any clerical errors or omissions may, at the sole discretion of the Contracting Authority, be referred back to the tenderer for correction. Any subsequent adjustment(s) must be confirmed in writing.  </w:t>
      </w:r>
    </w:p>
    <w:p w14:paraId="1812999A" w14:textId="463BA924" w:rsidR="00666E30" w:rsidRDefault="00666E30" w:rsidP="00E400A5">
      <w:pPr>
        <w:pStyle w:val="BodyText"/>
      </w:pPr>
      <w:r>
        <w:t>The Contracting Authority reserves the right to disqualify incomplete tenders.</w:t>
      </w:r>
    </w:p>
    <w:p w14:paraId="49B878CD" w14:textId="5B5E63FD" w:rsidR="00666E30" w:rsidRDefault="005278FB" w:rsidP="00B768A3">
      <w:pPr>
        <w:pStyle w:val="Heading2"/>
        <w:numPr>
          <w:ilvl w:val="1"/>
          <w:numId w:val="28"/>
        </w:numPr>
        <w:ind w:left="709" w:hanging="709"/>
      </w:pPr>
      <w:bookmarkStart w:id="83" w:name="_Toc196294380"/>
      <w:r>
        <w:t>Tender Documents – Ambiguity, Discrepancy, Error, Omission</w:t>
      </w:r>
      <w:bookmarkEnd w:id="83"/>
    </w:p>
    <w:p w14:paraId="543B81F9" w14:textId="77777777" w:rsidR="005278FB" w:rsidRPr="005278FB" w:rsidRDefault="005278FB" w:rsidP="005278FB">
      <w:pPr>
        <w:pStyle w:val="BodyText"/>
        <w:rPr>
          <w:lang w:val="en-IE" w:eastAsia="en-IE"/>
        </w:rPr>
      </w:pPr>
      <w:r w:rsidRPr="005278FB">
        <w:rPr>
          <w:lang w:val="en-IE" w:eastAsia="en-IE"/>
        </w:rPr>
        <w:t>If you consider that you are missing any documents which would prevent you from submitting a comprehensive tender, please contact us as soon as possible.</w:t>
      </w:r>
    </w:p>
    <w:p w14:paraId="4586B6A6" w14:textId="6C789153" w:rsidR="005278FB" w:rsidRDefault="005278FB" w:rsidP="005278FB">
      <w:pPr>
        <w:pStyle w:val="BodyText"/>
        <w:rPr>
          <w:lang w:val="en-IE" w:eastAsia="en-IE"/>
        </w:rPr>
      </w:pPr>
      <w:r w:rsidRPr="005278FB">
        <w:rPr>
          <w:lang w:val="en-IE" w:eastAsia="en-IE"/>
        </w:rPr>
        <w:t>Tenderers shall immediately notify the Contracting Authority should they become aware of any ambiguity, discrepancy, error or omission in the Tender Documents.  The Contracting Authority will, upon receipt of such notification, issue a clarification via eTenders in respect of any such ambiguity, discrepancy, error or omission. Such clarification shall then form part of the Tender Documents.</w:t>
      </w:r>
    </w:p>
    <w:p w14:paraId="686BFF02" w14:textId="3B97C101" w:rsidR="005278FB" w:rsidRDefault="2A05B034" w:rsidP="00B768A3">
      <w:pPr>
        <w:pStyle w:val="Heading2"/>
        <w:numPr>
          <w:ilvl w:val="1"/>
          <w:numId w:val="28"/>
        </w:numPr>
        <w:ind w:left="709" w:hanging="703"/>
      </w:pPr>
      <w:bookmarkStart w:id="84" w:name="_Toc196294381"/>
      <w:r>
        <w:t xml:space="preserve"> </w:t>
      </w:r>
      <w:r w:rsidR="005278FB">
        <w:t>Extension of Tender Period</w:t>
      </w:r>
      <w:bookmarkEnd w:id="84"/>
    </w:p>
    <w:p w14:paraId="23B43386" w14:textId="51BCA03C" w:rsidR="005278FB" w:rsidRDefault="005278FB" w:rsidP="005278FB">
      <w:pPr>
        <w:pStyle w:val="BodyText"/>
        <w:rPr>
          <w:lang w:val="en-IE" w:eastAsia="en-IE"/>
        </w:rPr>
      </w:pPr>
      <w:r w:rsidRPr="005278FB">
        <w:rPr>
          <w:lang w:val="en-IE" w:eastAsia="en-IE"/>
        </w:rPr>
        <w:t>The Contracting Authority reserves the right, at its sole discretion, to extend the closing date for receipt of tenders by giving notice in writing to all parties who have expressed an interest in the notice via eTenders no later than six days before the original closing date.</w:t>
      </w:r>
    </w:p>
    <w:p w14:paraId="4C5BED12" w14:textId="200DE779" w:rsidR="005278FB" w:rsidRDefault="16B4C373" w:rsidP="00B768A3">
      <w:pPr>
        <w:pStyle w:val="Heading2"/>
        <w:numPr>
          <w:ilvl w:val="1"/>
          <w:numId w:val="28"/>
        </w:numPr>
        <w:ind w:left="709" w:hanging="703"/>
      </w:pPr>
      <w:bookmarkStart w:id="85" w:name="_Toc196294382"/>
      <w:r>
        <w:t xml:space="preserve"> </w:t>
      </w:r>
      <w:r w:rsidR="005278FB">
        <w:t>Modifications to Tenders Prior to the Closing Date for Receipt of Tenders</w:t>
      </w:r>
      <w:bookmarkEnd w:id="85"/>
    </w:p>
    <w:p w14:paraId="69B4994D" w14:textId="30BB8CA6" w:rsidR="005278FB" w:rsidRDefault="005278FB" w:rsidP="005278FB">
      <w:pPr>
        <w:pStyle w:val="BodyText"/>
        <w:rPr>
          <w:lang w:val="en-IE" w:eastAsia="en-IE"/>
        </w:rPr>
      </w:pPr>
      <w:r w:rsidRPr="005278FB">
        <w:rPr>
          <w:lang w:val="en-IE" w:eastAsia="en-IE"/>
        </w:rPr>
        <w:t>Modifications to Tenders will be accepted in the form of supplementary information and/or addenda, provided they are submitted electronically via the e</w:t>
      </w:r>
      <w:r>
        <w:rPr>
          <w:lang w:val="en-IE" w:eastAsia="en-IE"/>
        </w:rPr>
        <w:t>T</w:t>
      </w:r>
      <w:r w:rsidRPr="005278FB">
        <w:rPr>
          <w:lang w:val="en-IE" w:eastAsia="en-IE"/>
        </w:rPr>
        <w:t>enders postbox facility on www.etenders.gov.ie only before the closing date for receipt of tenders and clearly marked as part of the tender. Any modifications received, by whatever means, after the closing time for receipt of tenders will not be considered.</w:t>
      </w:r>
    </w:p>
    <w:p w14:paraId="260F971F" w14:textId="341477F3" w:rsidR="005278FB" w:rsidRDefault="018BBAD5" w:rsidP="00B768A3">
      <w:pPr>
        <w:pStyle w:val="Heading2"/>
        <w:numPr>
          <w:ilvl w:val="1"/>
          <w:numId w:val="28"/>
        </w:numPr>
        <w:ind w:left="709" w:hanging="703"/>
      </w:pPr>
      <w:bookmarkStart w:id="86" w:name="_Toc196294383"/>
      <w:r>
        <w:t xml:space="preserve"> </w:t>
      </w:r>
      <w:r w:rsidR="005278FB">
        <w:t>Cost of Preparation of Tender</w:t>
      </w:r>
      <w:bookmarkEnd w:id="86"/>
    </w:p>
    <w:p w14:paraId="3ABF7EA9" w14:textId="3A95783A" w:rsidR="005278FB" w:rsidRDefault="005278FB" w:rsidP="005278FB">
      <w:pPr>
        <w:pStyle w:val="BodyText"/>
        <w:rPr>
          <w:lang w:val="en-IE" w:eastAsia="en-IE"/>
        </w:rPr>
      </w:pPr>
      <w:r w:rsidRPr="005278FB">
        <w:rPr>
          <w:lang w:val="en-IE" w:eastAsia="en-IE"/>
        </w:rPr>
        <w:t>The Contracting Authority will not be liable for any costs, charges or expenses incurred by tenderers in the preparation of proposals or any associated efforts. It is the responsibility of the tenderer to ensure that they are fully aware and understand the requirements as laid down in this document. Tenderers will be responsible for any costs incurred by them in the event that they are required to attend clarification or other meetings or make a presentation of their proposals.</w:t>
      </w:r>
    </w:p>
    <w:p w14:paraId="13322E00" w14:textId="3463340C" w:rsidR="005278FB" w:rsidRDefault="0F5C52FC" w:rsidP="00B768A3">
      <w:pPr>
        <w:pStyle w:val="Heading2"/>
        <w:numPr>
          <w:ilvl w:val="1"/>
          <w:numId w:val="28"/>
        </w:numPr>
        <w:ind w:left="709" w:hanging="703"/>
      </w:pPr>
      <w:bookmarkStart w:id="87" w:name="_Toc196294384"/>
      <w:r>
        <w:lastRenderedPageBreak/>
        <w:t xml:space="preserve"> </w:t>
      </w:r>
      <w:r w:rsidR="005278FB">
        <w:t>Funding Dependency</w:t>
      </w:r>
      <w:bookmarkEnd w:id="87"/>
      <w:r w:rsidR="005278FB">
        <w:t xml:space="preserve"> </w:t>
      </w:r>
    </w:p>
    <w:p w14:paraId="0133B35A" w14:textId="43326B8D" w:rsidR="005278FB" w:rsidRDefault="00920F71" w:rsidP="005278FB">
      <w:pPr>
        <w:pStyle w:val="BodyText"/>
        <w:rPr>
          <w:lang w:val="en-IE" w:eastAsia="en-IE"/>
        </w:rPr>
      </w:pPr>
      <w:r w:rsidRPr="00920F71">
        <w:rPr>
          <w:lang w:val="en-IE" w:eastAsia="en-IE"/>
        </w:rPr>
        <w:t>The supplies/services offered in this tender shall be contingent on continued funding approvals from government planning agencies, other relevant authorities and Contracting Authority’s capital budget committees.</w:t>
      </w:r>
    </w:p>
    <w:p w14:paraId="0054DCEA" w14:textId="20955ED4" w:rsidR="00920F71" w:rsidRDefault="3F24B6B6" w:rsidP="00B768A3">
      <w:pPr>
        <w:pStyle w:val="Heading2"/>
        <w:numPr>
          <w:ilvl w:val="1"/>
          <w:numId w:val="28"/>
        </w:numPr>
        <w:ind w:left="709" w:hanging="703"/>
      </w:pPr>
      <w:bookmarkStart w:id="88" w:name="_Toc196294385"/>
      <w:r>
        <w:t xml:space="preserve"> </w:t>
      </w:r>
      <w:r w:rsidR="00920F71">
        <w:t>Tender Validity Period</w:t>
      </w:r>
      <w:bookmarkEnd w:id="88"/>
    </w:p>
    <w:p w14:paraId="3EE3EB38" w14:textId="4DBE594D" w:rsidR="00920F71" w:rsidRDefault="00920F71" w:rsidP="00920F71">
      <w:pPr>
        <w:pStyle w:val="BodyText"/>
        <w:rPr>
          <w:lang w:val="en-IE" w:eastAsia="en-IE"/>
        </w:rPr>
      </w:pPr>
      <w:r w:rsidRPr="00920F71">
        <w:rPr>
          <w:lang w:val="en-IE" w:eastAsia="en-IE"/>
        </w:rPr>
        <w:t>To allow sufficient time for Tender assessment a Tender Validity period of 12 months is required, this period commencing on the closing date by which the Tenders are to be returned.</w:t>
      </w:r>
    </w:p>
    <w:p w14:paraId="1A74B2BF" w14:textId="5C7280E5" w:rsidR="00920F71" w:rsidRDefault="35BD5997" w:rsidP="00B768A3">
      <w:pPr>
        <w:pStyle w:val="Heading2"/>
        <w:numPr>
          <w:ilvl w:val="1"/>
          <w:numId w:val="28"/>
        </w:numPr>
        <w:ind w:left="426"/>
      </w:pPr>
      <w:bookmarkStart w:id="89" w:name="_Toc196294386"/>
      <w:r>
        <w:t xml:space="preserve"> </w:t>
      </w:r>
      <w:r w:rsidR="00920F71">
        <w:t>Qualification of Tenders and Referential Bids</w:t>
      </w:r>
      <w:bookmarkEnd w:id="89"/>
    </w:p>
    <w:p w14:paraId="4FDC17D6" w14:textId="7C40EE58" w:rsidR="00920F71" w:rsidRDefault="00920F71" w:rsidP="00920F71">
      <w:pPr>
        <w:pStyle w:val="BodyText"/>
        <w:rPr>
          <w:lang w:val="en-IE" w:eastAsia="en-IE"/>
        </w:rPr>
      </w:pPr>
      <w:r w:rsidRPr="00920F71">
        <w:rPr>
          <w:lang w:val="en-IE" w:eastAsia="en-IE"/>
        </w:rPr>
        <w:t>Please note that qualifications to a Tender may be considered a counter offer and may render the tender invalid. Tenders made by reference to other tenders are not valid and cannot be considered.</w:t>
      </w:r>
    </w:p>
    <w:p w14:paraId="6204A4D2" w14:textId="0FD542E3" w:rsidR="00920F71" w:rsidRDefault="452B9D24" w:rsidP="00B768A3">
      <w:pPr>
        <w:pStyle w:val="Heading2"/>
        <w:numPr>
          <w:ilvl w:val="1"/>
          <w:numId w:val="28"/>
        </w:numPr>
        <w:ind w:left="426"/>
      </w:pPr>
      <w:bookmarkStart w:id="90" w:name="_Toc196294387"/>
      <w:r>
        <w:t xml:space="preserve"> </w:t>
      </w:r>
      <w:r w:rsidR="00920F71">
        <w:t>Clarification of Tenders</w:t>
      </w:r>
      <w:bookmarkEnd w:id="90"/>
    </w:p>
    <w:p w14:paraId="522182F2" w14:textId="075BC451" w:rsidR="00920F71" w:rsidRDefault="00920F71" w:rsidP="00920F71">
      <w:pPr>
        <w:pStyle w:val="BodyText"/>
        <w:rPr>
          <w:lang w:val="en-IE" w:eastAsia="en-IE"/>
        </w:rPr>
      </w:pPr>
      <w:r w:rsidRPr="00920F71">
        <w:rPr>
          <w:lang w:val="en-IE" w:eastAsia="en-IE"/>
        </w:rPr>
        <w:t>The Contracting Authority is entitled, but not obliged, to seek clarification of tenders, including pricing breakdowns in the course of the evaluation process. No change in the price or substance of the Tender shall be sought, offered or permitted. To assist in finalising the tender evaluation, selected tenderers may be invited to attend clarification meetings with the Contracting Authority.</w:t>
      </w:r>
    </w:p>
    <w:p w14:paraId="66870E0C" w14:textId="3F810BF3" w:rsidR="00920F71" w:rsidRDefault="57C80883" w:rsidP="00B768A3">
      <w:pPr>
        <w:pStyle w:val="Heading2"/>
        <w:numPr>
          <w:ilvl w:val="1"/>
          <w:numId w:val="28"/>
        </w:numPr>
        <w:ind w:left="426"/>
      </w:pPr>
      <w:bookmarkStart w:id="91" w:name="_Toc196294388"/>
      <w:r>
        <w:t xml:space="preserve"> </w:t>
      </w:r>
      <w:r w:rsidR="00920F71">
        <w:t>Correction of Errors</w:t>
      </w:r>
      <w:bookmarkEnd w:id="91"/>
      <w:r w:rsidR="00920F71">
        <w:t xml:space="preserve"> </w:t>
      </w:r>
    </w:p>
    <w:p w14:paraId="61917626" w14:textId="2AB5443A" w:rsidR="00920F71" w:rsidRPr="00920F71" w:rsidRDefault="00920F71" w:rsidP="00920F71">
      <w:pPr>
        <w:pStyle w:val="BodyText"/>
        <w:rPr>
          <w:lang w:val="en-IE" w:eastAsia="en-IE"/>
        </w:rPr>
      </w:pPr>
      <w:r w:rsidRPr="00920F71">
        <w:rPr>
          <w:lang w:val="en-IE" w:eastAsia="en-IE"/>
        </w:rPr>
        <w:t xml:space="preserve">Detailed pricing of all tenders will be examined for errors that might alter the tender pricing as determined from the figures on the tender form or as between the hard copy and electronic versions of the tender.  Where a discrepancy arises between any figure submitted on the pricing element of eTenders versus the content of the Tender Submission, the Tender Submission figures will be used in the assessment. </w:t>
      </w:r>
    </w:p>
    <w:p w14:paraId="246E806D" w14:textId="77777777" w:rsidR="00920F71" w:rsidRPr="00920F71" w:rsidRDefault="00920F71" w:rsidP="00920F71">
      <w:pPr>
        <w:pStyle w:val="BodyText"/>
        <w:rPr>
          <w:lang w:val="en-IE" w:eastAsia="en-IE"/>
        </w:rPr>
      </w:pPr>
      <w:r w:rsidRPr="00920F71">
        <w:rPr>
          <w:lang w:val="en-IE" w:eastAsia="en-IE"/>
        </w:rPr>
        <w:t xml:space="preserve">In the case of manifest errors - where there is a discrepancy between the unit price and the total amount derived from the multiplication of the unit price and the quantity, the unit price as quoted will normally govern. </w:t>
      </w:r>
    </w:p>
    <w:p w14:paraId="57F52532" w14:textId="3E41894C" w:rsidR="00920F71" w:rsidRPr="00920F71" w:rsidRDefault="00920F71" w:rsidP="00920F71">
      <w:pPr>
        <w:pStyle w:val="BodyText"/>
        <w:rPr>
          <w:lang w:val="en-IE" w:eastAsia="en-IE"/>
        </w:rPr>
      </w:pPr>
      <w:r w:rsidRPr="00920F71">
        <w:rPr>
          <w:lang w:val="en-IE" w:eastAsia="en-IE"/>
        </w:rPr>
        <w:t>The amount stated in the tender form will be adjusted by the Contracting Authority in accordance with the above procedure and, with the agreement of the tenderer, shall be considered as binding upon the tenderer. Without prejudice to the above, a tenderer not accepting the correction of their tender as outlined may have their tender rejected.</w:t>
      </w:r>
    </w:p>
    <w:p w14:paraId="7F9F98A7" w14:textId="72071BF1" w:rsidR="00E400A5" w:rsidRDefault="00E400A5" w:rsidP="00755F86">
      <w:pPr>
        <w:pStyle w:val="Heading2"/>
        <w:numPr>
          <w:ilvl w:val="1"/>
          <w:numId w:val="28"/>
        </w:numPr>
        <w:ind w:left="709" w:hanging="709"/>
      </w:pPr>
      <w:bookmarkStart w:id="92" w:name="_Toc196294389"/>
      <w:r>
        <w:t>Confidentiality</w:t>
      </w:r>
      <w:bookmarkEnd w:id="92"/>
    </w:p>
    <w:p w14:paraId="0D9C5500" w14:textId="61CBFF8A" w:rsidR="00E400A5" w:rsidRDefault="00E400A5" w:rsidP="00E400A5">
      <w:pPr>
        <w:pStyle w:val="BodyText"/>
      </w:pPr>
      <w:r>
        <w:t>The distribution of this PIM or any other tender documentation is for the sole purpose of providing information to candidates for tendering for the aforementioned professional services. The distribution of this document does not grant permission or licence to use the documents for any other purpose. Tenderers are required to treat the details of all documentation provided in connection with this competition as private and confidential. Similarly, the Contracting Authority undertakes to use all reasonable endeavours to ensure that any confidential information received from tenderers is not disclosed to third parties, subject always to its obligations under law and the applicable provisions of the Freedom of Information Act, 2014.</w:t>
      </w:r>
    </w:p>
    <w:p w14:paraId="55FC076F" w14:textId="38BA0158" w:rsidR="00E400A5" w:rsidRDefault="00E400A5" w:rsidP="00E400A5">
      <w:pPr>
        <w:pStyle w:val="BodyText"/>
      </w:pPr>
      <w:r>
        <w:t xml:space="preserve">In this regard, tenderers are asked to consider if any of the information supplied by them in response to this Contract Notice should not be disclosed because of its sensitivity. Tenderers must specify the precise information that is sensitive and the reasons for its sensitivity. Tenderers are advised that it is not sufficient to merely include a statement of confidentiality encompassing all information contained in a submission. The Contracting Authority cannot guarantee that any information provided by tenderers, either in response </w:t>
      </w:r>
      <w:r>
        <w:lastRenderedPageBreak/>
        <w:t>to this Contract Notice or in the course of any this agreement awarded as a result thereof, will not be released pursuant to the Contracting Authority’s obligations under law, including the Freedom of Information Act, 2014, European Procurement Directives and all Irish procurement legislation and guidance. The Contracting Authority accepts no liability whatsoever in respect of any information provided that is subsequently released or in respect of any consequential damage suffered as a result of such obligations.</w:t>
      </w:r>
    </w:p>
    <w:p w14:paraId="40B600A5" w14:textId="71621308" w:rsidR="00E400A5" w:rsidRDefault="00E400A5" w:rsidP="00755F86">
      <w:pPr>
        <w:pStyle w:val="Heading2"/>
        <w:numPr>
          <w:ilvl w:val="1"/>
          <w:numId w:val="28"/>
        </w:numPr>
        <w:ind w:left="709" w:hanging="709"/>
      </w:pPr>
      <w:bookmarkStart w:id="93" w:name="_Toc196294390"/>
      <w:r>
        <w:t>Conflict of Interest</w:t>
      </w:r>
      <w:bookmarkEnd w:id="93"/>
    </w:p>
    <w:p w14:paraId="2143932F" w14:textId="77777777" w:rsidR="00E400A5" w:rsidRDefault="00E400A5" w:rsidP="00E400A5">
      <w:pPr>
        <w:pStyle w:val="BodyText"/>
      </w:pPr>
      <w:r>
        <w:t>Any conflict of interest involving a tenderer must be fully disclosed to the Contracting Authority.</w:t>
      </w:r>
    </w:p>
    <w:p w14:paraId="1002EDC8" w14:textId="36D3CB4A" w:rsidR="00E400A5" w:rsidRDefault="00E400A5" w:rsidP="00E400A5">
      <w:pPr>
        <w:pStyle w:val="BodyText"/>
      </w:pPr>
      <w:r>
        <w:t>Any registrable interest involving a tenderer and the Contracting Authority, or employees of the Contracting Authority or their relatives, must be fully disclosed in the submission. In the event that a tenderer becomes aware of the conflict of interest only after a submission has been made, the conflict of interest must be immediately disclosed to the Contracting Authority. The terms ‘registrable interest’ and ‘relative’ will be interpreted in accordance with Section 2 of the Ethics in Public Office Act, 1995 (as amended). Failure to disclose a conflict of interest may disqualify a tenderer or invalidate the award of any subsequent agreement, depending upon when the conflict of interest is made known to the Contracting Authority.</w:t>
      </w:r>
    </w:p>
    <w:p w14:paraId="762AA5C1" w14:textId="4141EDDB" w:rsidR="00920F71" w:rsidRDefault="00920F71" w:rsidP="00920F71">
      <w:pPr>
        <w:pStyle w:val="Heading2"/>
        <w:numPr>
          <w:ilvl w:val="1"/>
          <w:numId w:val="28"/>
        </w:numPr>
        <w:ind w:left="426"/>
      </w:pPr>
      <w:bookmarkStart w:id="94" w:name="_Toc196294391"/>
      <w:r>
        <w:t>Currency and Payments</w:t>
      </w:r>
      <w:bookmarkEnd w:id="94"/>
    </w:p>
    <w:p w14:paraId="455C81F2" w14:textId="77777777" w:rsidR="00920F71" w:rsidRPr="00920F71" w:rsidRDefault="00920F71" w:rsidP="00920F71">
      <w:pPr>
        <w:pStyle w:val="BodyText"/>
        <w:rPr>
          <w:lang w:val="en-IE" w:eastAsia="en-IE"/>
        </w:rPr>
      </w:pPr>
      <w:r w:rsidRPr="00920F71">
        <w:rPr>
          <w:lang w:val="en-IE" w:eastAsia="en-IE"/>
        </w:rPr>
        <w:t xml:space="preserve">The currency and invoices in which all prices and rates shall be tendered, and which payments under the contract will be paid, shall be Euros (€). All prices and rates quoted should be exclusive of VAT.  </w:t>
      </w:r>
    </w:p>
    <w:p w14:paraId="08F1F596" w14:textId="77777777" w:rsidR="00920F71" w:rsidRPr="00920F71" w:rsidRDefault="00920F71" w:rsidP="00920F71">
      <w:pPr>
        <w:pStyle w:val="BodyText"/>
        <w:rPr>
          <w:lang w:val="en-IE" w:eastAsia="en-IE"/>
        </w:rPr>
      </w:pPr>
      <w:r w:rsidRPr="00920F71">
        <w:rPr>
          <w:lang w:val="en-IE" w:eastAsia="en-IE"/>
        </w:rPr>
        <w:t>Invoices shall be submitted by the successful tenderer on a monthly basis for all costs incurred in the preceding month.   All official invoices must quote a Contracting Authority purchase order number.  All invoices which do not quote the relevant order number(s) will be returned to the supplier.</w:t>
      </w:r>
    </w:p>
    <w:p w14:paraId="456738B5" w14:textId="77777777" w:rsidR="00920F71" w:rsidRPr="00920F71" w:rsidRDefault="00920F71" w:rsidP="00920F71">
      <w:pPr>
        <w:pStyle w:val="BodyText"/>
        <w:rPr>
          <w:lang w:val="en-IE" w:eastAsia="en-IE"/>
        </w:rPr>
      </w:pPr>
      <w:r w:rsidRPr="00920F71">
        <w:rPr>
          <w:lang w:val="en-IE" w:eastAsia="en-IE"/>
        </w:rPr>
        <w:t xml:space="preserve">A schedule of payments will be agreed with the successful tenderer. The Contracting Authority operates in accordance with S.I. 580 of 2012 which transposes EU Directive 2011/7/EU on combating Late Payment in commercial Transactions. </w:t>
      </w:r>
    </w:p>
    <w:p w14:paraId="194EC885" w14:textId="23F760F5" w:rsidR="00920F71" w:rsidRPr="00920F71" w:rsidRDefault="00920F71" w:rsidP="00920F71">
      <w:pPr>
        <w:pStyle w:val="BodyText"/>
        <w:rPr>
          <w:lang w:val="en-IE" w:eastAsia="en-IE"/>
        </w:rPr>
      </w:pPr>
      <w:r w:rsidRPr="00920F71">
        <w:rPr>
          <w:lang w:val="en-IE" w:eastAsia="en-IE"/>
        </w:rPr>
        <w:t>The method of payment used by the Contracting Authority is normally Electronic Funds Transfer.</w:t>
      </w:r>
    </w:p>
    <w:p w14:paraId="4BE72EB3" w14:textId="72B04A5F" w:rsidR="003A2F79" w:rsidRDefault="00920F71" w:rsidP="00755F86">
      <w:pPr>
        <w:pStyle w:val="Heading2"/>
        <w:numPr>
          <w:ilvl w:val="1"/>
          <w:numId w:val="28"/>
        </w:numPr>
        <w:ind w:left="709" w:hanging="709"/>
      </w:pPr>
      <w:bookmarkStart w:id="95" w:name="_Toc196294392"/>
      <w:r>
        <w:t>Tax Clearance</w:t>
      </w:r>
      <w:bookmarkEnd w:id="95"/>
    </w:p>
    <w:p w14:paraId="0EE5F56B" w14:textId="183F3F43" w:rsidR="00E400A5" w:rsidRDefault="00920F71" w:rsidP="00E400A5">
      <w:pPr>
        <w:pStyle w:val="BodyText"/>
      </w:pPr>
      <w:r w:rsidRPr="00920F71">
        <w:t>It will be a condition of award of this framework and any subsequent contract that the successful tenderer(s) comply with all EU and national tax laws.  Tenderers are referred to the Irish Revenue web site http://www.revenue.ie/. Non-resident tenderers should apply to the Office of the Revenue Commissioners, Non-Resident Tax Clearance Unit, Office of the Collector General, Sarsfield House, Francis Street, Limerick, Ireland; e-mail: nonrestaxclearance@revenue.ie    The Contracting Authority will satisfy themselves that any tenderers being considered for award of a framework / contract are appropriately tax compliant by checking their status via the online system for which tenderers are requested to provide their Tax Clearance Access Number and Tax Reference Number to facilitate verification.  By supplying these numbers tenderers acknowledge and agree that the Contracting Authority has the permission to verify its tax cleared position at any time during the term of the framework agreement / contract. This requirement must continue to be maintained throughout the duration of the operation of this framework agreement.</w:t>
      </w:r>
    </w:p>
    <w:p w14:paraId="4D6AA9A8" w14:textId="6C034795" w:rsidR="00920F71" w:rsidRDefault="00920F71" w:rsidP="00920F71">
      <w:pPr>
        <w:pStyle w:val="Heading2"/>
        <w:numPr>
          <w:ilvl w:val="1"/>
          <w:numId w:val="28"/>
        </w:numPr>
        <w:ind w:left="426"/>
      </w:pPr>
      <w:bookmarkStart w:id="96" w:name="_Toc196294393"/>
      <w:r>
        <w:t>Withholding Tax</w:t>
      </w:r>
      <w:bookmarkEnd w:id="96"/>
    </w:p>
    <w:p w14:paraId="54DE197C" w14:textId="6574ED49" w:rsidR="00920F71" w:rsidRDefault="00920F71" w:rsidP="00920F71">
      <w:pPr>
        <w:pStyle w:val="BodyText"/>
        <w:rPr>
          <w:lang w:val="en-IE" w:eastAsia="en-IE"/>
        </w:rPr>
      </w:pPr>
      <w:r w:rsidRPr="00920F71">
        <w:rPr>
          <w:lang w:val="en-IE" w:eastAsia="en-IE"/>
        </w:rPr>
        <w:t xml:space="preserve">Where applicable, payments shall be subject to Irish ‘Professional Services Withholding Tax’ at the prevailing rate (currently at 20%) as laid down by the Revenue Commissioners in Ireland. Non-residents may be able to reclaim such deducted Tax from the Office of the Revenue Commissioners in Ireland, </w:t>
      </w:r>
      <w:r w:rsidRPr="00920F71">
        <w:rPr>
          <w:lang w:val="en-IE" w:eastAsia="en-IE"/>
        </w:rPr>
        <w:lastRenderedPageBreak/>
        <w:t>International Claims Section located currently at Government Buildings, Nenagh, Co. Tipperary, Ireland (Tel: 353-67-63400).</w:t>
      </w:r>
    </w:p>
    <w:p w14:paraId="51BFF9FC" w14:textId="561A17A9" w:rsidR="00920F71" w:rsidRDefault="00920F71" w:rsidP="00920F71">
      <w:pPr>
        <w:pStyle w:val="Heading2"/>
        <w:numPr>
          <w:ilvl w:val="1"/>
          <w:numId w:val="28"/>
        </w:numPr>
        <w:ind w:left="426"/>
      </w:pPr>
      <w:bookmarkStart w:id="97" w:name="_Toc196294394"/>
      <w:r>
        <w:t>Irish Legislation and Law</w:t>
      </w:r>
      <w:bookmarkEnd w:id="97"/>
      <w:r>
        <w:t xml:space="preserve"> </w:t>
      </w:r>
    </w:p>
    <w:p w14:paraId="420A8157" w14:textId="600E8AF4" w:rsidR="00920F71" w:rsidRDefault="00920F71" w:rsidP="00920F71">
      <w:pPr>
        <w:pStyle w:val="BodyText"/>
        <w:rPr>
          <w:lang w:val="en-IE" w:eastAsia="en-IE"/>
        </w:rPr>
      </w:pPr>
      <w:r w:rsidRPr="00920F71">
        <w:rPr>
          <w:lang w:val="en-IE" w:eastAsia="en-IE"/>
        </w:rPr>
        <w:t>Tenderers should be aware that national legislation applies in other matters such as Employment, Working Hours, Official Secrets, Data Protection and Health and Safety. Tenderers must have regard to statutory terms relating to minimum pay and to legally binding industrial or sectoral agreements in the Contracting Authority tenders and in delivering contracts awarded to them. The contract[s] awarded on foot of this tender process will be governed by Irish law.</w:t>
      </w:r>
    </w:p>
    <w:p w14:paraId="28F5A189" w14:textId="53506443" w:rsidR="00920F71" w:rsidRDefault="00920F71" w:rsidP="00920F71">
      <w:pPr>
        <w:pStyle w:val="Heading2"/>
        <w:numPr>
          <w:ilvl w:val="1"/>
          <w:numId w:val="28"/>
        </w:numPr>
        <w:ind w:left="426"/>
      </w:pPr>
      <w:bookmarkStart w:id="98" w:name="_Toc196294395"/>
      <w:r>
        <w:t>Compliance with All Relevant Employment Law Obligations</w:t>
      </w:r>
      <w:bookmarkEnd w:id="98"/>
    </w:p>
    <w:p w14:paraId="26E47CE8" w14:textId="77777777" w:rsidR="00920F71" w:rsidRPr="00920F71" w:rsidRDefault="00920F71" w:rsidP="00920F71">
      <w:pPr>
        <w:pStyle w:val="BodyText"/>
        <w:rPr>
          <w:lang w:val="en-IE" w:eastAsia="en-IE"/>
        </w:rPr>
      </w:pPr>
      <w:r w:rsidRPr="00920F71">
        <w:rPr>
          <w:lang w:val="en-IE" w:eastAsia="en-IE"/>
        </w:rPr>
        <w:t xml:space="preserve">Tenderers shall ensure that all rates quoted for the provision of services allow for statutory deductions such as PRSI, PAYE, Annual leave/Holiday pay. </w:t>
      </w:r>
    </w:p>
    <w:p w14:paraId="269892F8" w14:textId="77777777" w:rsidR="00920F71" w:rsidRPr="00920F71" w:rsidRDefault="00920F71" w:rsidP="00920F71">
      <w:pPr>
        <w:pStyle w:val="BodyText"/>
        <w:rPr>
          <w:lang w:val="en-IE" w:eastAsia="en-IE"/>
        </w:rPr>
      </w:pPr>
      <w:r w:rsidRPr="00920F71">
        <w:rPr>
          <w:lang w:val="en-IE" w:eastAsia="en-IE"/>
        </w:rPr>
        <w:t>It is the obligation of the successful tenderer/s to ensure that any foreign personnel have provided them with the necessary documentation to prove that they can legally work in this country.</w:t>
      </w:r>
    </w:p>
    <w:p w14:paraId="464B00E5" w14:textId="77777777" w:rsidR="00920F71" w:rsidRPr="00920F71" w:rsidRDefault="00920F71" w:rsidP="00920F71">
      <w:pPr>
        <w:pStyle w:val="BodyText"/>
        <w:rPr>
          <w:lang w:val="en-IE" w:eastAsia="en-IE"/>
        </w:rPr>
      </w:pPr>
      <w:r w:rsidRPr="00920F71">
        <w:rPr>
          <w:lang w:val="en-IE" w:eastAsia="en-IE"/>
        </w:rPr>
        <w:t>Prior to expiry of the agreement, if requested, the successful tenderer shall, upon the termination of this agreement for any reason or prior to the expiration of the Term, promptly furnish such anonymised information relating to the terms and conditions of the employment of all persons providing the services as may be required by the Contracting Authority. The successful tenderer agrees to the Contracting Authority releasing any such anonymised information to third party tenderers for the purposes of any procurement competition for the provision of the services upon expiry of the Term or earlier termination of this contract for whatever cause.</w:t>
      </w:r>
    </w:p>
    <w:p w14:paraId="466E3200" w14:textId="77F8BBB9" w:rsidR="00920F71" w:rsidRPr="00920F71" w:rsidRDefault="00920F71" w:rsidP="00920F71">
      <w:pPr>
        <w:pStyle w:val="BodyText"/>
        <w:rPr>
          <w:lang w:val="en-IE" w:eastAsia="en-IE"/>
        </w:rPr>
      </w:pPr>
      <w:r w:rsidRPr="00920F71">
        <w:rPr>
          <w:lang w:val="en-IE" w:eastAsia="en-IE"/>
        </w:rPr>
        <w:t>Where applicable, 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S.I.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p w14:paraId="4B8A12A4" w14:textId="62E18447" w:rsidR="00920F71" w:rsidRDefault="00920F71" w:rsidP="00920F71">
      <w:pPr>
        <w:pStyle w:val="BodyText"/>
        <w:rPr>
          <w:lang w:val="en-IE" w:eastAsia="en-IE"/>
        </w:rPr>
      </w:pPr>
      <w:r w:rsidRPr="00920F71">
        <w:rPr>
          <w:lang w:val="en-IE" w:eastAsia="en-IE"/>
        </w:rPr>
        <w:t>The Protection of Employees (Temporary Agency Work) Act 2012(the “2012 Act”) provides that an Agency Worker (as defined in the 2012 Act) is entitled to the same basic working and employment conditions as those which apply to employees recruited directly by the Hirer (as defined in the 2012 Act) to do the same or a similar job. 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p w14:paraId="009C923B" w14:textId="28E0ABF5" w:rsidR="00920F71" w:rsidRDefault="00920F71" w:rsidP="00920F71">
      <w:pPr>
        <w:pStyle w:val="Heading2"/>
        <w:numPr>
          <w:ilvl w:val="1"/>
          <w:numId w:val="28"/>
        </w:numPr>
        <w:ind w:left="426"/>
      </w:pPr>
      <w:bookmarkStart w:id="99" w:name="_Toc196294396"/>
      <w:r>
        <w:t>Freedom of Information Act</w:t>
      </w:r>
      <w:bookmarkEnd w:id="99"/>
    </w:p>
    <w:p w14:paraId="68910ACF" w14:textId="77777777" w:rsidR="00920F71" w:rsidRPr="00920F71" w:rsidRDefault="00920F71" w:rsidP="00920F71">
      <w:pPr>
        <w:pStyle w:val="BodyText"/>
        <w:rPr>
          <w:lang w:val="en-IE" w:eastAsia="en-IE"/>
        </w:rPr>
      </w:pPr>
      <w:r w:rsidRPr="00920F71">
        <w:rPr>
          <w:lang w:val="en-IE" w:eastAsia="en-IE"/>
        </w:rPr>
        <w:t>All responses to this invitation to tender will be treated in confidence and no information contained therein will be communicated to any third party without the written permission of the tenderer except insofar as is specifically required for the consideration and evaluation of the response or as may be required under law, including the Freedom of Information Act 2014, EU and Irish Government Procurement Procedures, or in response to questions, debates or other parliamentary procedures in or of the Oireachtas (the Irish Parliament).</w:t>
      </w:r>
    </w:p>
    <w:p w14:paraId="4E31A25B" w14:textId="1F588CA8" w:rsidR="00920F71" w:rsidRPr="00920F71" w:rsidRDefault="00920F71" w:rsidP="00920F71">
      <w:pPr>
        <w:pStyle w:val="BodyText"/>
        <w:rPr>
          <w:lang w:val="en-IE" w:eastAsia="en-IE"/>
        </w:rPr>
      </w:pPr>
      <w:r w:rsidRPr="00920F71">
        <w:rPr>
          <w:lang w:val="en-IE" w:eastAsia="en-IE"/>
        </w:rPr>
        <w:lastRenderedPageBreak/>
        <w:t>Tenderers are asked to consider if any of the information supplied by them in response to this request for tenders should not be disclosed because of its sensitivity. If this is the case, tenderers should specify the information that is sensitive and the reasons for its sensitivity. The Contracting Authority cannot guarantee that any information provided by tenderers, either in response to this tender or in the course of any contract awarded as a result thereof, will not be released pursuant to the Contracting Authority’s obligations under law, including the Freedom of Information Act 2014, EU and Irish Government Procurement Procedures. the Contracting Authority accepts no liability whatsoever in respect of any information provided which is subsequently released or in respect of any consequential damage suffered as a result of such disclosure.</w:t>
      </w:r>
    </w:p>
    <w:p w14:paraId="4FF78974" w14:textId="4BCA13EB" w:rsidR="00920F71" w:rsidRDefault="00184160" w:rsidP="00184160">
      <w:pPr>
        <w:pStyle w:val="Heading2"/>
        <w:numPr>
          <w:ilvl w:val="1"/>
          <w:numId w:val="28"/>
        </w:numPr>
        <w:ind w:left="0" w:firstLine="0"/>
      </w:pPr>
      <w:bookmarkStart w:id="100" w:name="_Toc196294397"/>
      <w:r>
        <w:t>Dignity at Work</w:t>
      </w:r>
      <w:bookmarkEnd w:id="100"/>
    </w:p>
    <w:p w14:paraId="0373E078" w14:textId="77777777" w:rsidR="00184160" w:rsidRPr="00184160" w:rsidRDefault="00184160" w:rsidP="00184160">
      <w:pPr>
        <w:pStyle w:val="BodyText"/>
        <w:rPr>
          <w:lang w:val="en-IE" w:eastAsia="en-IE"/>
        </w:rPr>
      </w:pPr>
      <w:r w:rsidRPr="00184160">
        <w:rPr>
          <w:lang w:val="en-IE" w:eastAsia="en-IE"/>
        </w:rPr>
        <w:t xml:space="preserve">The successful tenderer(s) shall comply with all relevant legislation relating to dignity at work. As a public body and employer, the Contracting Authority is committed to a policy of equality of opportunity for all personnel.   </w:t>
      </w:r>
    </w:p>
    <w:p w14:paraId="226B0BB2" w14:textId="0F771046" w:rsidR="00184160" w:rsidRPr="00184160" w:rsidRDefault="00184160" w:rsidP="00184160">
      <w:pPr>
        <w:pStyle w:val="BodyText"/>
        <w:rPr>
          <w:lang w:val="en-IE" w:eastAsia="en-IE"/>
        </w:rPr>
      </w:pPr>
      <w:r w:rsidRPr="00184160">
        <w:rPr>
          <w:lang w:val="en-IE" w:eastAsia="en-IE"/>
        </w:rPr>
        <w:t>In line with the Disability Act 2005, accessibility requirements should be clearly stated in request for tenders / quotations where applicable. Under Section 27 of the Act the Contracting Authority is required to ensure that both the goods supplied and services provided to it are accessible to persons with disabilities.</w:t>
      </w:r>
    </w:p>
    <w:p w14:paraId="23863657" w14:textId="62E33369" w:rsidR="00920F71" w:rsidRDefault="00184160" w:rsidP="00184160">
      <w:pPr>
        <w:pStyle w:val="Heading2"/>
        <w:numPr>
          <w:ilvl w:val="1"/>
          <w:numId w:val="28"/>
        </w:numPr>
        <w:ind w:left="426"/>
      </w:pPr>
      <w:bookmarkStart w:id="101" w:name="_Toc196294398"/>
      <w:r>
        <w:t>Change in the Composition of a Tender</w:t>
      </w:r>
      <w:bookmarkEnd w:id="101"/>
    </w:p>
    <w:p w14:paraId="41382CCB" w14:textId="7B8F9D60" w:rsidR="00184160" w:rsidRDefault="00184160" w:rsidP="00184160">
      <w:pPr>
        <w:pStyle w:val="BodyText"/>
        <w:rPr>
          <w:lang w:val="en-IE" w:eastAsia="en-IE"/>
        </w:rPr>
      </w:pPr>
      <w:r w:rsidRPr="00184160">
        <w:rPr>
          <w:lang w:val="en-IE" w:eastAsia="en-IE"/>
        </w:rPr>
        <w:t>The Contracting Authority reserves the right, but is not obliged, to disqualify any Tenderer that makes any change to its composition after submission of a Tender.  Any such changes must be notified to the Contracting Authority and require formal agreement.</w:t>
      </w:r>
    </w:p>
    <w:p w14:paraId="5AE07565" w14:textId="7F2035A2" w:rsidR="00184160" w:rsidRDefault="00184160" w:rsidP="00184160">
      <w:pPr>
        <w:pStyle w:val="Heading2"/>
        <w:numPr>
          <w:ilvl w:val="1"/>
          <w:numId w:val="28"/>
        </w:numPr>
        <w:ind w:left="426"/>
      </w:pPr>
      <w:bookmarkStart w:id="102" w:name="_Toc196294399"/>
      <w:r>
        <w:t>Interference and Inducement to Purchase</w:t>
      </w:r>
      <w:bookmarkEnd w:id="102"/>
    </w:p>
    <w:p w14:paraId="11B693BF" w14:textId="37766447" w:rsidR="00184160" w:rsidRPr="00184160" w:rsidRDefault="00184160" w:rsidP="00184160">
      <w:pPr>
        <w:pStyle w:val="BodyText"/>
        <w:rPr>
          <w:lang w:val="en-IE" w:eastAsia="en-IE"/>
        </w:rPr>
      </w:pPr>
      <w:r w:rsidRPr="00184160">
        <w:rPr>
          <w:lang w:val="en-IE" w:eastAsia="en-IE"/>
        </w:rPr>
        <w:t>Any effort by the tenderer to unduly influence the Contracting Authority, relevant agency personnel or any other relevant persons or bodies in the process of examination, clarification, evaluation and comparison of tenders and in decisions concerning the Award of Contract shall have their tender rejected. In accordance with Section 38 of the Ethics in Public Office Act 1995 any money, gift or other consideration from a person holding or seeking to obtain a contract will be deemed to have been paid or given corruptly unless the contrary is proved.</w:t>
      </w:r>
    </w:p>
    <w:p w14:paraId="0278D111" w14:textId="7B18871C" w:rsidR="00184160" w:rsidRDefault="00EA243C" w:rsidP="00184160">
      <w:pPr>
        <w:pStyle w:val="Heading2"/>
        <w:numPr>
          <w:ilvl w:val="1"/>
          <w:numId w:val="28"/>
        </w:numPr>
        <w:ind w:left="284" w:hanging="207"/>
      </w:pPr>
      <w:bookmarkStart w:id="103" w:name="_Toc196294400"/>
      <w:r>
        <w:t>Notification of Tender Evaluations</w:t>
      </w:r>
      <w:bookmarkEnd w:id="103"/>
    </w:p>
    <w:p w14:paraId="4A4741A5" w14:textId="77777777" w:rsidR="00EA243C" w:rsidRPr="00EA243C" w:rsidRDefault="00EA243C" w:rsidP="00EA243C">
      <w:pPr>
        <w:pStyle w:val="BodyText"/>
        <w:rPr>
          <w:lang w:val="en-IE" w:eastAsia="en-IE"/>
        </w:rPr>
      </w:pPr>
      <w:r w:rsidRPr="00EA243C">
        <w:rPr>
          <w:lang w:val="en-IE" w:eastAsia="en-IE"/>
        </w:rPr>
        <w:t xml:space="preserve">All tenderers will be informed of the outcome of their tenders following tender evaluation and any necessary clarifications. </w:t>
      </w:r>
    </w:p>
    <w:p w14:paraId="2AAE20AC" w14:textId="77777777" w:rsidR="00EA243C" w:rsidRPr="00EA243C" w:rsidRDefault="00EA243C" w:rsidP="00EA243C">
      <w:pPr>
        <w:pStyle w:val="BodyText"/>
        <w:rPr>
          <w:lang w:val="en-IE" w:eastAsia="en-IE"/>
        </w:rPr>
      </w:pPr>
      <w:r w:rsidRPr="00EA243C">
        <w:rPr>
          <w:lang w:val="en-IE" w:eastAsia="en-IE"/>
        </w:rPr>
        <w:t xml:space="preserve">In the case of National value frameworks, the Contracting Authority will issue a Letter of Regret with the name of the winning tenderer(s) and the scores of the tenderer and the winning tenderer.  </w:t>
      </w:r>
    </w:p>
    <w:p w14:paraId="77044563" w14:textId="79D4F9EF" w:rsidR="00EA243C" w:rsidRPr="00EA243C" w:rsidRDefault="00EA243C" w:rsidP="00EA243C">
      <w:pPr>
        <w:pStyle w:val="BodyText"/>
        <w:rPr>
          <w:lang w:val="en-IE" w:eastAsia="en-IE"/>
        </w:rPr>
      </w:pPr>
      <w:r w:rsidRPr="00EA243C">
        <w:rPr>
          <w:lang w:val="en-IE" w:eastAsia="en-IE"/>
        </w:rPr>
        <w:t>In the case of EU value frameworks, the following information will be provided in the Letter of Regret – name of successful tenderer(s) designate</w:t>
      </w:r>
      <w:r>
        <w:rPr>
          <w:lang w:val="en-IE" w:eastAsia="en-IE"/>
        </w:rPr>
        <w:t>d</w:t>
      </w:r>
      <w:r w:rsidRPr="00EA243C">
        <w:rPr>
          <w:lang w:val="en-IE" w:eastAsia="en-IE"/>
        </w:rPr>
        <w:t>; the applicable standstill period; scores of the tenderer and that of successful tenderer; features and characteristics of winning tender where they scored higher marks in relevant criteria. The Contracting Authority will undertake not to award the contract/establish the framework for a period of at least 14 (or whatever period is stated in the notification letters) days from the date of notification of unsuccessful tenderers (‘standstill period’).</w:t>
      </w:r>
    </w:p>
    <w:p w14:paraId="046C4AEF" w14:textId="58450BF1" w:rsidR="00EA243C" w:rsidRPr="00EA243C" w:rsidRDefault="00EA243C" w:rsidP="00EA243C">
      <w:pPr>
        <w:pStyle w:val="Heading2"/>
        <w:numPr>
          <w:ilvl w:val="1"/>
          <w:numId w:val="28"/>
        </w:numPr>
        <w:ind w:left="426"/>
      </w:pPr>
      <w:bookmarkStart w:id="104" w:name="_Toc196294401"/>
      <w:r>
        <w:t>Award Notices</w:t>
      </w:r>
      <w:bookmarkEnd w:id="104"/>
    </w:p>
    <w:p w14:paraId="664AA08C" w14:textId="5B189480" w:rsidR="00184160" w:rsidRPr="00184160" w:rsidRDefault="00EA243C" w:rsidP="00184160">
      <w:pPr>
        <w:pStyle w:val="BodyText"/>
        <w:rPr>
          <w:lang w:val="en-IE" w:eastAsia="en-IE"/>
        </w:rPr>
      </w:pPr>
      <w:r w:rsidRPr="00EA243C">
        <w:rPr>
          <w:lang w:val="en-IE" w:eastAsia="en-IE"/>
        </w:rPr>
        <w:t xml:space="preserve">Following the award of contract, an award notice will be dispatched to the Official Journal of the European Union announcing the results of the competition no later than 30 days after the award of contract. It should be noted that it is standard practice for the Contracting Authority to include the price of the winning tender </w:t>
      </w:r>
      <w:r w:rsidRPr="00EA243C">
        <w:rPr>
          <w:lang w:val="en-IE" w:eastAsia="en-IE"/>
        </w:rPr>
        <w:lastRenderedPageBreak/>
        <w:t>or the range of prices of tenders received in the publication of the award notice as required under European procurement rules.</w:t>
      </w:r>
    </w:p>
    <w:p w14:paraId="01605290" w14:textId="054B48F6" w:rsidR="00920F71" w:rsidRDefault="00EA243C" w:rsidP="00EA243C">
      <w:pPr>
        <w:pStyle w:val="Heading2"/>
        <w:numPr>
          <w:ilvl w:val="1"/>
          <w:numId w:val="28"/>
        </w:numPr>
        <w:ind w:left="426"/>
      </w:pPr>
      <w:bookmarkStart w:id="105" w:name="_Toc196294402"/>
      <w:r>
        <w:t>Policy on Personal Debriefings</w:t>
      </w:r>
      <w:bookmarkEnd w:id="105"/>
    </w:p>
    <w:p w14:paraId="1E1D52C0" w14:textId="0AC09702" w:rsidR="00EA243C" w:rsidRDefault="00EA243C" w:rsidP="00EA243C">
      <w:pPr>
        <w:pStyle w:val="BodyText"/>
        <w:rPr>
          <w:rFonts w:eastAsiaTheme="majorEastAsia" w:cs="Calibri"/>
          <w:b/>
          <w:bCs/>
          <w:color w:val="0070C0"/>
          <w:kern w:val="0"/>
          <w:sz w:val="24"/>
          <w:szCs w:val="26"/>
          <w:lang w:val="en-IE" w:eastAsia="en-IE"/>
        </w:rPr>
      </w:pPr>
      <w:r w:rsidRPr="00EA243C">
        <w:rPr>
          <w:lang w:val="en-IE" w:eastAsia="en-IE"/>
        </w:rPr>
        <w:t>Based on the provision of the information to unsuccessful tenderers as outlined above and due to resourcing constraints, the Contracting Authority will not be offering individual debriefing meetings to unsuccessful bidders.</w:t>
      </w:r>
    </w:p>
    <w:p w14:paraId="196DE266" w14:textId="69604E65" w:rsidR="00EA243C" w:rsidRDefault="00EA243C" w:rsidP="00EA243C">
      <w:pPr>
        <w:pStyle w:val="Heading2"/>
        <w:numPr>
          <w:ilvl w:val="1"/>
          <w:numId w:val="28"/>
        </w:numPr>
        <w:ind w:left="426"/>
      </w:pPr>
      <w:bookmarkStart w:id="106" w:name="_Toc196294403"/>
      <w:r>
        <w:t>Brand Names, etc.</w:t>
      </w:r>
      <w:bookmarkEnd w:id="106"/>
    </w:p>
    <w:p w14:paraId="2EAC71C7" w14:textId="319B95A1" w:rsidR="00EA243C" w:rsidRPr="00EA243C" w:rsidRDefault="00EA243C" w:rsidP="00EA243C">
      <w:pPr>
        <w:pStyle w:val="BodyText"/>
        <w:rPr>
          <w:lang w:val="en-IE" w:eastAsia="en-IE"/>
        </w:rPr>
      </w:pPr>
      <w:r w:rsidRPr="00EA243C">
        <w:rPr>
          <w:lang w:val="en-IE" w:eastAsia="en-IE"/>
        </w:rPr>
        <w:t>Please note in relation to this tender document; where reference is made to a particular make, source, process, trademark, type or patent, that this is not to be regarded as a de facto requirement.  In all such cases, it should be understood that the reference in question is accompanied by the words “or equivalent”.</w:t>
      </w:r>
    </w:p>
    <w:p w14:paraId="77D26A19" w14:textId="32CE853A" w:rsidR="00920F71" w:rsidRDefault="00EA243C" w:rsidP="00EA243C">
      <w:pPr>
        <w:pStyle w:val="Heading2"/>
        <w:numPr>
          <w:ilvl w:val="1"/>
          <w:numId w:val="28"/>
        </w:numPr>
        <w:ind w:left="426"/>
      </w:pPr>
      <w:bookmarkStart w:id="107" w:name="_Toc196294404"/>
      <w:r>
        <w:t>Right Not to Award</w:t>
      </w:r>
      <w:bookmarkEnd w:id="107"/>
    </w:p>
    <w:p w14:paraId="4293A53C" w14:textId="77777777" w:rsidR="00EA243C" w:rsidRPr="00EA243C" w:rsidRDefault="00EA243C" w:rsidP="00EA243C">
      <w:pPr>
        <w:pStyle w:val="BodyText"/>
        <w:rPr>
          <w:lang w:val="en-IE" w:eastAsia="en-IE"/>
        </w:rPr>
      </w:pPr>
      <w:r w:rsidRPr="00EA243C">
        <w:rPr>
          <w:lang w:val="en-IE" w:eastAsia="en-IE"/>
        </w:rPr>
        <w:t xml:space="preserve">The Contracting Authority does not bind itself to accept the most economically advantageous tender or any tender. It also reserves the right to accept or reject in whole or in part any or all tenders received, and, in particular, to source the requirement with more than one service provider. </w:t>
      </w:r>
    </w:p>
    <w:p w14:paraId="37D9D2C5" w14:textId="34FE3C8F" w:rsidR="00EA243C" w:rsidRDefault="00EA243C" w:rsidP="00EA243C">
      <w:pPr>
        <w:pStyle w:val="BodyText"/>
        <w:rPr>
          <w:lang w:val="en-IE" w:eastAsia="en-IE"/>
        </w:rPr>
      </w:pPr>
      <w:r w:rsidRPr="00EA243C">
        <w:rPr>
          <w:lang w:val="en-IE" w:eastAsia="en-IE"/>
        </w:rPr>
        <w:t>The invitation to tender is issued in good faith; however, the Contracting Authority at its sole discretion shall not be obliged to award a contract or proceed to further stages in the procurement process and reserves the right to cancel the procurement process.</w:t>
      </w:r>
    </w:p>
    <w:p w14:paraId="1865FE5D" w14:textId="04F62528" w:rsidR="00EA243C" w:rsidRDefault="00EA243C" w:rsidP="00EA243C">
      <w:pPr>
        <w:pStyle w:val="Heading2"/>
        <w:numPr>
          <w:ilvl w:val="1"/>
          <w:numId w:val="28"/>
        </w:numPr>
        <w:ind w:left="426"/>
      </w:pPr>
      <w:bookmarkStart w:id="108" w:name="_Toc196294405"/>
      <w:r>
        <w:t>Environmental Aspects</w:t>
      </w:r>
      <w:bookmarkEnd w:id="108"/>
    </w:p>
    <w:p w14:paraId="102C2D0E" w14:textId="620B559C" w:rsidR="00EA243C" w:rsidRPr="00EA243C" w:rsidRDefault="00EA243C" w:rsidP="00EA243C">
      <w:pPr>
        <w:pStyle w:val="BodyText"/>
        <w:rPr>
          <w:lang w:val="en-IE" w:eastAsia="en-IE"/>
        </w:rPr>
      </w:pPr>
      <w:r w:rsidRPr="00EA243C">
        <w:rPr>
          <w:lang w:val="en-IE" w:eastAsia="en-IE"/>
        </w:rPr>
        <w:t>The Contracting Authority is committed to the principles of environmental management in its activities and it encourages the implementation of sustainability principles in its procurement practices.  Tenderers/consultants should make all reasonable efforts to minimise adverse environmental impact in the methods of services delivery and in materials used.</w:t>
      </w:r>
    </w:p>
    <w:p w14:paraId="29E5DDEA" w14:textId="36847604" w:rsidR="00920F71" w:rsidRDefault="00EA243C" w:rsidP="00EA243C">
      <w:pPr>
        <w:pStyle w:val="Heading2"/>
        <w:numPr>
          <w:ilvl w:val="1"/>
          <w:numId w:val="28"/>
        </w:numPr>
        <w:ind w:left="426"/>
      </w:pPr>
      <w:bookmarkStart w:id="109" w:name="_Toc196294406"/>
      <w:r>
        <w:t>Knowledge and Skills Transfer</w:t>
      </w:r>
      <w:bookmarkEnd w:id="109"/>
    </w:p>
    <w:p w14:paraId="12B0441C" w14:textId="713A10D0" w:rsidR="00EA243C" w:rsidRDefault="00EA243C" w:rsidP="00EA243C">
      <w:pPr>
        <w:pStyle w:val="BodyText"/>
        <w:rPr>
          <w:lang w:val="en-IE" w:eastAsia="en-IE"/>
        </w:rPr>
      </w:pPr>
      <w:r w:rsidRPr="00EA243C">
        <w:rPr>
          <w:lang w:val="en-IE" w:eastAsia="en-IE"/>
        </w:rPr>
        <w:t>It will be a condition of the contract that opportunities for the transfer of skills and/or knowledge from the Tender/Tender’s staff to the Contracting Authority staff will be availed of during the course of the contract or prior to the handing over of the finished work/product.</w:t>
      </w:r>
    </w:p>
    <w:p w14:paraId="7872D93B" w14:textId="563E6C31" w:rsidR="00EA243C" w:rsidRPr="00EA243C" w:rsidRDefault="00EA243C" w:rsidP="00EA243C">
      <w:pPr>
        <w:pStyle w:val="Heading2"/>
        <w:numPr>
          <w:ilvl w:val="1"/>
          <w:numId w:val="28"/>
        </w:numPr>
        <w:ind w:left="426"/>
      </w:pPr>
      <w:bookmarkStart w:id="110" w:name="_Toc196294407"/>
      <w:r>
        <w:t>Collusive Tendering</w:t>
      </w:r>
      <w:bookmarkEnd w:id="110"/>
    </w:p>
    <w:p w14:paraId="3E5C336B" w14:textId="1212161A" w:rsidR="00EA243C" w:rsidRDefault="00EA243C" w:rsidP="00EA243C">
      <w:pPr>
        <w:pStyle w:val="BodyText"/>
        <w:rPr>
          <w:lang w:val="en-IE" w:eastAsia="en-IE"/>
        </w:rPr>
      </w:pPr>
      <w:r w:rsidRPr="00EA243C">
        <w:rPr>
          <w:lang w:val="en-IE" w:eastAsia="en-IE"/>
        </w:rPr>
        <w:t>If any Tendering Party is found to have, at any time, offered to give or to have agreed to offer or give to any person, any bribe, gift, gratuity, commission or consideration of any kind as an inducement or reward for taking or forbearing to take any action in relation to the obtaining of its Tenders, or for showing or forbearing to show any favour or disfavour to any person in relation to its Tenders, the bid submitted by such Tendering Part shall be automatically disqualified and the circumstances surrounding such action shall be referred to the appropriate authority.</w:t>
      </w:r>
    </w:p>
    <w:p w14:paraId="3BEBF1D8" w14:textId="03ED4CC5" w:rsidR="00EA243C" w:rsidRDefault="00EA243C" w:rsidP="00EA243C">
      <w:pPr>
        <w:pStyle w:val="Heading2"/>
        <w:numPr>
          <w:ilvl w:val="1"/>
          <w:numId w:val="28"/>
        </w:numPr>
        <w:ind w:left="426"/>
      </w:pPr>
      <w:bookmarkStart w:id="111" w:name="_Toc196294408"/>
      <w:r>
        <w:t>Consortia And Prime Subconsultants</w:t>
      </w:r>
      <w:bookmarkEnd w:id="111"/>
    </w:p>
    <w:p w14:paraId="0CEA3469" w14:textId="77777777" w:rsidR="00EA243C" w:rsidRPr="00EA243C" w:rsidRDefault="00EA243C" w:rsidP="00EA243C">
      <w:pPr>
        <w:pStyle w:val="BodyText"/>
        <w:rPr>
          <w:lang w:val="en-IE" w:eastAsia="en-IE"/>
        </w:rPr>
      </w:pPr>
      <w:r w:rsidRPr="00EA243C">
        <w:rPr>
          <w:lang w:val="en-IE" w:eastAsia="en-IE"/>
        </w:rPr>
        <w:t xml:space="preserve">The Contracting Authority seeks to encourage participation on a fair and equal basis by Small and Medium Enterprises (“SMEs”) in this Competition.  SMEs that believe the scope of this Competition is beyond their technical or business capacity are encouraged, subject to this paragraph, to explore the possibilities of forming relationships with other SMEs or with larger enterprises.  Through such relationships, they can </w:t>
      </w:r>
      <w:r w:rsidRPr="00EA243C">
        <w:rPr>
          <w:lang w:val="en-IE" w:eastAsia="en-IE"/>
        </w:rPr>
        <w:lastRenderedPageBreak/>
        <w:t xml:space="preserve">participate and contribute to the successful implementation of any Services Contracts that may result from this Competition and therefore increase their social and economic benefits. </w:t>
      </w:r>
    </w:p>
    <w:p w14:paraId="0FE9611C" w14:textId="77777777" w:rsidR="00EA243C" w:rsidRPr="00EA243C" w:rsidRDefault="00EA243C" w:rsidP="00EA243C">
      <w:pPr>
        <w:pStyle w:val="BodyText"/>
        <w:rPr>
          <w:lang w:val="en-IE" w:eastAsia="en-IE"/>
        </w:rPr>
      </w:pPr>
      <w:r w:rsidRPr="00EA243C">
        <w:rPr>
          <w:lang w:val="en-IE" w:eastAsia="en-IE"/>
        </w:rPr>
        <w:t xml:space="preserve">Larger enterprises are also encouraged, subject to this paragraph, to consider the practical ways that SMEs can be included in their proposals to maximise the social and economic benefits of any Services Contracts that may result from this Competition. </w:t>
      </w:r>
    </w:p>
    <w:p w14:paraId="7601D9E1" w14:textId="53463367" w:rsidR="00EA243C" w:rsidRPr="00EA243C" w:rsidRDefault="00EA243C" w:rsidP="00EA243C">
      <w:pPr>
        <w:pStyle w:val="BodyText"/>
        <w:rPr>
          <w:lang w:val="en-IE" w:eastAsia="en-IE"/>
        </w:rPr>
      </w:pPr>
      <w:r w:rsidRPr="00EA243C">
        <w:rPr>
          <w:lang w:val="en-IE" w:eastAsia="en-IE"/>
        </w:rPr>
        <w:t>Where a group of undertakings (in whatever form and regardless of the legal relationship between them) come together to submit a Tender in response to this RFT the Contracting Authority will deal with all matters relating to this Competition through the entity who will carry overall responsibility for the performance of the Services Contract only (the “Prime Consultant”), irrespective of whether or not tasks are to be performed by a subconsultant or other consortium member (the “Subconsultant”).  The Tenderer must clearly and comprehensively set out the name, title, telephone number, postal address, facsimile number and email address of the nominated contact personnel of the Prime Consultant authorised to represent the Tenderer and to whom all communications shall be directed and accepted until this Competition has been completed or terminated.  Correspondence from any other person (including from any Subconsultant) will NOT be accepted, acknowledged or responded to.</w:t>
      </w:r>
    </w:p>
    <w:p w14:paraId="2A7BB75F" w14:textId="0936C365" w:rsidR="00A22F29" w:rsidRPr="00A22F29" w:rsidRDefault="00A22F29" w:rsidP="00A22F29">
      <w:pPr>
        <w:pStyle w:val="Heading2"/>
        <w:numPr>
          <w:ilvl w:val="1"/>
          <w:numId w:val="28"/>
        </w:numPr>
        <w:ind w:left="426"/>
      </w:pPr>
      <w:bookmarkStart w:id="112" w:name="_Toc196294409"/>
      <w:r>
        <w:t>Relying on the Standing of Other Entities</w:t>
      </w:r>
      <w:bookmarkEnd w:id="112"/>
    </w:p>
    <w:p w14:paraId="22A7971C" w14:textId="6FBA292C" w:rsidR="00EA243C" w:rsidRDefault="00A22F29" w:rsidP="00A22F29">
      <w:pPr>
        <w:pStyle w:val="BodyText"/>
        <w:rPr>
          <w:lang w:val="en-IE" w:eastAsia="en-IE"/>
        </w:rPr>
      </w:pPr>
      <w:r w:rsidRPr="00A22F29">
        <w:rPr>
          <w:lang w:val="en-IE" w:eastAsia="en-IE"/>
        </w:rPr>
        <w:t>A Tenderer may enter a tender submission in the form of an individual, a partnership, or a limited company. Furthermore, each Tenderer is reminded that they may, if necessary, rely on the other available resources from connected or related legal entities, subject to board approval and subject to contract and condition of proof guarantee to rely on these resources for disposal when necessary. Failure to provide such satisfactory levels of evidence shall permit the Contracting Authority to disqualify any applicant from the tender process Ab initio.  A parent company guarantee with letter of reliance may be taken as evidence to confirm reliance of resources from a legally related or connected entity and may be accepted in order to satisfy the minimum levels of resources as indicated herein. Such evidence shall be supplied to the Contracting Authority, prior to the execution date limitation of each agreement.</w:t>
      </w:r>
    </w:p>
    <w:p w14:paraId="53CA826E" w14:textId="552CDA3C" w:rsidR="00A22F29" w:rsidRDefault="00A22F29" w:rsidP="00A22F29">
      <w:pPr>
        <w:pStyle w:val="Heading2"/>
        <w:numPr>
          <w:ilvl w:val="1"/>
          <w:numId w:val="28"/>
        </w:numPr>
        <w:ind w:left="426"/>
      </w:pPr>
      <w:bookmarkStart w:id="113" w:name="_Toc196294410"/>
      <w:r>
        <w:t>Anti-Competitive Conduct</w:t>
      </w:r>
      <w:bookmarkEnd w:id="113"/>
    </w:p>
    <w:p w14:paraId="34BD1780" w14:textId="5D325637" w:rsidR="00A22F29" w:rsidRPr="00A22F29" w:rsidRDefault="00A22F29" w:rsidP="00A22F29">
      <w:pPr>
        <w:pStyle w:val="BodyText"/>
        <w:rPr>
          <w:lang w:val="en-IE" w:eastAsia="en-IE"/>
        </w:rPr>
      </w:pPr>
      <w:r w:rsidRPr="00A22F29">
        <w:rPr>
          <w:lang w:val="en-IE" w:eastAsia="en-IE"/>
        </w:rPr>
        <w:t>Tenderers attention is drawn to the Competition Act 2002 (as amended, the “2002 Act”). The 2002 Act makes it a criminal offence for Tenderers to collude on prices or terms in a public procurement competition.</w:t>
      </w:r>
    </w:p>
    <w:p w14:paraId="01BB5792" w14:textId="43C0BD38" w:rsidR="00EA243C" w:rsidRDefault="00A22F29" w:rsidP="00A22F29">
      <w:pPr>
        <w:pStyle w:val="Heading2"/>
        <w:numPr>
          <w:ilvl w:val="1"/>
          <w:numId w:val="28"/>
        </w:numPr>
        <w:ind w:left="426"/>
      </w:pPr>
      <w:bookmarkStart w:id="114" w:name="_Toc196294411"/>
      <w:r>
        <w:t>Publicity</w:t>
      </w:r>
      <w:bookmarkEnd w:id="114"/>
    </w:p>
    <w:p w14:paraId="5DE5CEE8" w14:textId="77777777" w:rsidR="00A22F29" w:rsidRPr="00A22F29" w:rsidRDefault="00A22F29" w:rsidP="00A22F29">
      <w:pPr>
        <w:pStyle w:val="BodyText"/>
        <w:rPr>
          <w:lang w:val="en-IE" w:eastAsia="en-IE"/>
        </w:rPr>
      </w:pPr>
      <w:r w:rsidRPr="00A22F29">
        <w:rPr>
          <w:lang w:val="en-IE" w:eastAsia="en-IE"/>
        </w:rPr>
        <w:t>Tenderers shall not undertake (or permit to be undertaken) at any time, whether at this stage or after the award of the agreement, any publicity activity with any section of the media in relation to this tender/agreement other than with the prior written consent of the Contracting Authority.  Such consent shall extend to the content of any publicity.  For the purposes of this paragraph, the word “media” includes (but is not limited to) radio, television, newspapers, trade and specialist press, the Internet and e-mail accessible by the public at large and the representatives of such media.</w:t>
      </w:r>
    </w:p>
    <w:p w14:paraId="5427F532" w14:textId="05E2B7B2" w:rsidR="00A22F29" w:rsidRDefault="00A22F29" w:rsidP="00A22F29">
      <w:pPr>
        <w:pStyle w:val="BodyText"/>
        <w:rPr>
          <w:lang w:val="en-IE" w:eastAsia="en-IE"/>
        </w:rPr>
      </w:pPr>
      <w:r w:rsidRPr="00A22F29">
        <w:rPr>
          <w:lang w:val="en-IE" w:eastAsia="en-IE"/>
        </w:rPr>
        <w:t>The Contracting Authority will have the right to publicise or otherwise disclose to any third-party information regarding this process and the agreement.</w:t>
      </w:r>
    </w:p>
    <w:p w14:paraId="047E5813" w14:textId="5353E4E8" w:rsidR="00493CF1" w:rsidRDefault="00A22F29" w:rsidP="00A22F29">
      <w:pPr>
        <w:pStyle w:val="Heading2"/>
        <w:numPr>
          <w:ilvl w:val="1"/>
          <w:numId w:val="28"/>
        </w:numPr>
        <w:ind w:left="426"/>
      </w:pPr>
      <w:bookmarkStart w:id="115" w:name="EOD"/>
      <w:bookmarkStart w:id="116" w:name="_Toc196294412"/>
      <w:bookmarkEnd w:id="25"/>
      <w:bookmarkEnd w:id="115"/>
      <w:r>
        <w:t>Personnel</w:t>
      </w:r>
      <w:bookmarkEnd w:id="116"/>
      <w:r>
        <w:t xml:space="preserve"> </w:t>
      </w:r>
    </w:p>
    <w:p w14:paraId="54817CD6" w14:textId="5177C311" w:rsidR="00A22F29" w:rsidRDefault="00A22F29" w:rsidP="00A22F29">
      <w:pPr>
        <w:pStyle w:val="BodyText"/>
        <w:rPr>
          <w:lang w:val="en-IE" w:eastAsia="en-IE"/>
        </w:rPr>
      </w:pPr>
      <w:r w:rsidRPr="00A22F29">
        <w:rPr>
          <w:lang w:val="en-IE" w:eastAsia="en-IE"/>
        </w:rPr>
        <w:t xml:space="preserve">Notification must be sent in writing as soon as possible to the Contracting Authority on any proposed change of nominated personnel, such change to be subject to the written approval of </w:t>
      </w:r>
      <w:r w:rsidR="00703D8B">
        <w:rPr>
          <w:lang w:val="en-IE" w:eastAsia="en-IE"/>
        </w:rPr>
        <w:t xml:space="preserve">the </w:t>
      </w:r>
      <w:r w:rsidRPr="00A22F29">
        <w:rPr>
          <w:lang w:val="en-IE" w:eastAsia="en-IE"/>
        </w:rPr>
        <w:t>Contracting Authority.  Replacement personnel must be of equal or better standing than those of the personnel originally proposed in terms of qualifications and experience.</w:t>
      </w:r>
    </w:p>
    <w:p w14:paraId="49998CAF" w14:textId="6AA622ED" w:rsidR="00A22F29" w:rsidRDefault="00A22F29" w:rsidP="00A22F29">
      <w:pPr>
        <w:pStyle w:val="Heading2"/>
        <w:numPr>
          <w:ilvl w:val="1"/>
          <w:numId w:val="28"/>
        </w:numPr>
        <w:ind w:left="426"/>
      </w:pPr>
      <w:bookmarkStart w:id="117" w:name="_Toc196294413"/>
      <w:r>
        <w:lastRenderedPageBreak/>
        <w:t>Amendment of Tender Documentation</w:t>
      </w:r>
      <w:bookmarkEnd w:id="117"/>
    </w:p>
    <w:p w14:paraId="0296C4AE" w14:textId="74138860" w:rsidR="00A22F29" w:rsidRDefault="00A22F29" w:rsidP="00A22F29">
      <w:pPr>
        <w:pStyle w:val="BodyText"/>
        <w:rPr>
          <w:lang w:val="en-IE" w:eastAsia="en-IE"/>
        </w:rPr>
      </w:pPr>
      <w:r w:rsidRPr="00A22F29">
        <w:rPr>
          <w:lang w:val="en-IE" w:eastAsia="en-IE"/>
        </w:rPr>
        <w:t>Tenderers are prohibited from amending any text or content of forms or declarations or templates provided as part of this tender competition in their tender responses.  Where amendments have been identified the Contracting Authority may at its discretion eliminate the tenderer from further consideration</w:t>
      </w:r>
      <w:r>
        <w:rPr>
          <w:lang w:val="en-IE" w:eastAsia="en-IE"/>
        </w:rPr>
        <w:t>.</w:t>
      </w:r>
    </w:p>
    <w:p w14:paraId="2C63B786" w14:textId="0AB07516" w:rsidR="00A22F29" w:rsidRDefault="00A22F29" w:rsidP="00A22F29">
      <w:pPr>
        <w:pStyle w:val="Heading2"/>
        <w:numPr>
          <w:ilvl w:val="1"/>
          <w:numId w:val="28"/>
        </w:numPr>
        <w:ind w:left="426"/>
      </w:pPr>
      <w:bookmarkStart w:id="118" w:name="_Toc196294414"/>
      <w:r>
        <w:t>Intellectual Property Rights</w:t>
      </w:r>
      <w:bookmarkEnd w:id="118"/>
    </w:p>
    <w:p w14:paraId="2E88821E" w14:textId="6D41FD1E" w:rsidR="00A22F29" w:rsidRPr="00A22F29" w:rsidRDefault="00A22F29" w:rsidP="00A22F29">
      <w:pPr>
        <w:pStyle w:val="BodyText"/>
        <w:rPr>
          <w:lang w:val="en-IE" w:eastAsia="en-IE"/>
        </w:rPr>
      </w:pPr>
      <w:r w:rsidRPr="00A22F29">
        <w:rPr>
          <w:lang w:val="en-IE" w:eastAsia="en-IE"/>
        </w:rPr>
        <w:t>All Intellectual Property Rights title and interest in all reports, data manuals and/or other materials (other than software) (including without limitation all and any audio- or audio-visual recordings, transcripts, books, papers, records, notes, illustrations, photographs, diagrams) produced for the purposes of this Agreement (collectively “the Materials”) (or any part or parts thereof) shall vest in the Client and the Consultant so acknowledges and confirms. For the avoidance of doubt the Consultant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sectPr w:rsidR="00A22F29" w:rsidRPr="00A22F29" w:rsidSect="004E43B0">
      <w:headerReference w:type="default" r:id="rId27"/>
      <w:footerReference w:type="default" r:id="rId28"/>
      <w:pgSz w:w="11906" w:h="16838"/>
      <w:pgMar w:top="1134" w:right="1440" w:bottom="851" w:left="144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70AB7" w14:textId="77777777" w:rsidR="00AC125C" w:rsidRDefault="00AC125C" w:rsidP="00253171">
      <w:r>
        <w:separator/>
      </w:r>
    </w:p>
  </w:endnote>
  <w:endnote w:type="continuationSeparator" w:id="0">
    <w:p w14:paraId="71636FE0" w14:textId="77777777" w:rsidR="00AC125C" w:rsidRDefault="00AC125C" w:rsidP="00253171">
      <w:r>
        <w:continuationSeparator/>
      </w:r>
    </w:p>
  </w:endnote>
  <w:endnote w:type="continuationNotice" w:id="1">
    <w:p w14:paraId="2193C1D0" w14:textId="77777777" w:rsidR="00AC125C" w:rsidRDefault="00AC12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184160" w14:paraId="6B6A9D87" w14:textId="77777777" w:rsidTr="5C9C72EF">
      <w:trPr>
        <w:trHeight w:val="300"/>
      </w:trPr>
      <w:tc>
        <w:tcPr>
          <w:tcW w:w="3005" w:type="dxa"/>
        </w:tcPr>
        <w:p w14:paraId="37060EBD" w14:textId="79E5DD4B" w:rsidR="00184160" w:rsidRDefault="00184160" w:rsidP="5C9C72EF">
          <w:pPr>
            <w:pStyle w:val="Header"/>
            <w:ind w:left="-115"/>
          </w:pPr>
        </w:p>
      </w:tc>
      <w:tc>
        <w:tcPr>
          <w:tcW w:w="3005" w:type="dxa"/>
        </w:tcPr>
        <w:p w14:paraId="43DD5978" w14:textId="23AF6816" w:rsidR="00184160" w:rsidRDefault="00184160" w:rsidP="5C9C72EF">
          <w:pPr>
            <w:pStyle w:val="Header"/>
            <w:jc w:val="center"/>
          </w:pPr>
        </w:p>
      </w:tc>
      <w:tc>
        <w:tcPr>
          <w:tcW w:w="3005" w:type="dxa"/>
        </w:tcPr>
        <w:p w14:paraId="3AEF4C20" w14:textId="61ED6CA4" w:rsidR="00184160" w:rsidRDefault="00184160" w:rsidP="5C9C72EF">
          <w:pPr>
            <w:pStyle w:val="Header"/>
            <w:ind w:right="-115"/>
            <w:jc w:val="right"/>
          </w:pPr>
        </w:p>
      </w:tc>
    </w:tr>
  </w:tbl>
  <w:p w14:paraId="44E0DD16" w14:textId="1094E9F5" w:rsidR="00184160" w:rsidRDefault="00184160" w:rsidP="5C9C72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2459A" w14:textId="77777777" w:rsidR="00184160" w:rsidRPr="0061745A" w:rsidRDefault="00184160"/>
  <w:tbl>
    <w:tblPr>
      <w:tblStyle w:val="Plaingrid"/>
      <w:tblW w:w="5000" w:type="pct"/>
      <w:tblLook w:val="04A0" w:firstRow="1" w:lastRow="0" w:firstColumn="1" w:lastColumn="0" w:noHBand="0" w:noVBand="1"/>
    </w:tblPr>
    <w:tblGrid>
      <w:gridCol w:w="6112"/>
      <w:gridCol w:w="3734"/>
    </w:tblGrid>
    <w:tr w:rsidR="00184160" w:rsidRPr="0061745A" w14:paraId="6CB8DFE1" w14:textId="77777777" w:rsidTr="5D347E28">
      <w:tc>
        <w:tcPr>
          <w:tcW w:w="5670" w:type="dxa"/>
        </w:tcPr>
        <w:p w14:paraId="485AC81D" w14:textId="2C749421" w:rsidR="00184160" w:rsidRPr="0061745A" w:rsidRDefault="5D347E28" w:rsidP="5D347E28">
          <w:pPr>
            <w:pStyle w:val="Header"/>
            <w:rPr>
              <w:rFonts w:asciiTheme="minorHAnsi" w:hAnsiTheme="minorHAnsi" w:cstheme="minorBidi"/>
            </w:rPr>
          </w:pPr>
          <w:r w:rsidRPr="5D347E28">
            <w:rPr>
              <w:rFonts w:asciiTheme="minorHAnsi" w:hAnsiTheme="minorHAnsi" w:cstheme="minorBidi"/>
            </w:rPr>
            <w:t xml:space="preserve">University of Galway  </w:t>
          </w:r>
        </w:p>
        <w:p w14:paraId="2718BD1D" w14:textId="2F1FC63C" w:rsidR="00184160" w:rsidRPr="0061745A" w:rsidRDefault="5D347E28" w:rsidP="5D347E28">
          <w:pPr>
            <w:pStyle w:val="Header"/>
            <w:rPr>
              <w:rFonts w:asciiTheme="minorHAnsi" w:hAnsiTheme="minorHAnsi" w:cstheme="minorBidi"/>
            </w:rPr>
          </w:pPr>
          <w:r w:rsidRPr="5D347E28">
            <w:rPr>
              <w:rFonts w:asciiTheme="minorHAnsi" w:hAnsiTheme="minorHAnsi" w:cstheme="minorBidi"/>
            </w:rPr>
            <w:t>University of Limerick</w:t>
          </w:r>
          <w:r w:rsidR="00184160" w:rsidRPr="5D347E28">
            <w:rPr>
              <w:rFonts w:asciiTheme="minorHAnsi" w:hAnsiTheme="minorHAnsi" w:cstheme="minorBidi"/>
            </w:rPr>
            <w:fldChar w:fldCharType="begin"/>
          </w:r>
          <w:r w:rsidR="00184160" w:rsidRPr="5D347E28">
            <w:rPr>
              <w:rFonts w:asciiTheme="minorHAnsi" w:hAnsiTheme="minorHAnsi" w:cstheme="minorBidi"/>
            </w:rPr>
            <w:instrText xml:space="preserve"> DOCPROPERTY  ClientNumber \* MERGEFORMAT </w:instrText>
          </w:r>
          <w:r w:rsidR="00184160" w:rsidRPr="5D347E28">
            <w:rPr>
              <w:rFonts w:asciiTheme="minorHAnsi" w:hAnsiTheme="minorHAnsi" w:cstheme="minorBidi"/>
            </w:rPr>
            <w:fldChar w:fldCharType="end"/>
          </w:r>
        </w:p>
        <w:p w14:paraId="56353694" w14:textId="7AE3789D" w:rsidR="00184160" w:rsidRPr="0061745A" w:rsidRDefault="00184160" w:rsidP="5D347E28">
          <w:pPr>
            <w:pStyle w:val="Header"/>
            <w:rPr>
              <w:rFonts w:asciiTheme="minorHAnsi" w:hAnsiTheme="minorHAnsi" w:cstheme="minorBidi"/>
            </w:rPr>
          </w:pPr>
        </w:p>
        <w:p w14:paraId="37471BF8" w14:textId="7A0ADE4F" w:rsidR="00184160" w:rsidRPr="0061745A" w:rsidRDefault="00184160" w:rsidP="006A7D49">
          <w:pPr>
            <w:pStyle w:val="Footer"/>
          </w:pPr>
          <w:r>
            <w:fldChar w:fldCharType="begin"/>
          </w:r>
          <w:r>
            <w:instrText xml:space="preserve"> if </w:instrText>
          </w:r>
          <w:fldSimple w:instr="DOCPROPERTY  ShowFilePath \* MERGEFORMAT">
            <w:r w:rsidR="00D377B6">
              <w:instrText>0</w:instrText>
            </w:r>
          </w:fldSimple>
          <w:r>
            <w:instrText xml:space="preserve">  = 1  </w:instrText>
          </w:r>
          <w:fldSimple w:instr="FILENAME \p   \* MERGEFORMAT">
            <w:r>
              <w:instrText>Document7</w:instrText>
            </w:r>
          </w:fldSimple>
          <w:r>
            <w:instrText xml:space="preserve">  </w:instrText>
          </w:r>
          <w:r>
            <w:fldChar w:fldCharType="end"/>
          </w:r>
          <w:r>
            <w:fldChar w:fldCharType="begin"/>
          </w:r>
          <w:r>
            <w:instrText xml:space="preserve"> if </w:instrText>
          </w:r>
          <w:fldSimple w:instr="DOCPROPERTY  ShowFileName \* MERGEFORMAT">
            <w:r w:rsidR="00D377B6">
              <w:instrText>0</w:instrText>
            </w:r>
          </w:fldSimple>
          <w:r>
            <w:instrText xml:space="preserve">  = 1  </w:instrText>
          </w:r>
          <w:fldSimple w:instr="FILENAME   \* MERGEFORMAT">
            <w:r>
              <w:instrText>C:\Data\Word97\Template\Aecom\Aecom_Letter.Dotm</w:instrText>
            </w:r>
          </w:fldSimple>
          <w:r>
            <w:instrText xml:space="preserve">  </w:instrText>
          </w:r>
          <w:r>
            <w:fldChar w:fldCharType="end"/>
          </w:r>
        </w:p>
      </w:tc>
      <w:tc>
        <w:tcPr>
          <w:tcW w:w="3464" w:type="dxa"/>
          <w:vAlign w:val="bottom"/>
        </w:tcPr>
        <w:p w14:paraId="3E08CA77" w14:textId="19FDA2FC" w:rsidR="00184160" w:rsidRPr="0061745A" w:rsidRDefault="00184160" w:rsidP="00F044DD">
          <w:pPr>
            <w:pStyle w:val="Footer"/>
            <w:jc w:val="right"/>
          </w:pPr>
          <w:r w:rsidRPr="0061745A">
            <w:fldChar w:fldCharType="begin"/>
          </w:r>
          <w:r w:rsidRPr="0061745A">
            <w:instrText xml:space="preserve"> if </w:instrText>
          </w:r>
          <w:r w:rsidRPr="0061745A">
            <w:fldChar w:fldCharType="begin"/>
          </w:r>
          <w:r w:rsidRPr="0061745A">
            <w:instrText xml:space="preserve"> DOCPROPERTY  AdditionalCompanyName </w:instrText>
          </w:r>
          <w:r w:rsidRPr="0061745A">
            <w:fldChar w:fldCharType="end"/>
          </w:r>
          <w:r w:rsidRPr="0061745A">
            <w:instrText xml:space="preserve">  = "" "" "  |  "</w:instrText>
          </w:r>
          <w:r w:rsidRPr="0061745A">
            <w:fldChar w:fldCharType="end"/>
          </w:r>
          <w:r w:rsidRPr="0061745A">
            <w:fldChar w:fldCharType="begin"/>
          </w:r>
          <w:r w:rsidRPr="0061745A">
            <w:instrText xml:space="preserve"> DOCPROPERTY  AdditionalCompanyName \* MERGEFORMAT </w:instrText>
          </w:r>
          <w:r w:rsidRPr="0061745A">
            <w:fldChar w:fldCharType="end"/>
          </w:r>
        </w:p>
        <w:p w14:paraId="724C1B1B" w14:textId="77777777" w:rsidR="00184160" w:rsidRPr="0061745A" w:rsidRDefault="00184160" w:rsidP="00F044DD">
          <w:pPr>
            <w:pStyle w:val="Footer"/>
            <w:jc w:val="right"/>
          </w:pPr>
        </w:p>
      </w:tc>
    </w:tr>
  </w:tbl>
  <w:p w14:paraId="0B71AB5C" w14:textId="77777777" w:rsidR="00184160" w:rsidRPr="0061745A" w:rsidRDefault="00184160" w:rsidP="00493CF1">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F7914" w14:textId="77777777" w:rsidR="00184160" w:rsidRPr="0061745A" w:rsidRDefault="00184160"/>
  <w:tbl>
    <w:tblPr>
      <w:tblStyle w:val="Plaingrid"/>
      <w:tblW w:w="5000" w:type="pct"/>
      <w:tblLook w:val="04A0" w:firstRow="1" w:lastRow="0" w:firstColumn="1" w:lastColumn="0" w:noHBand="0" w:noVBand="1"/>
    </w:tblPr>
    <w:tblGrid>
      <w:gridCol w:w="3261"/>
      <w:gridCol w:w="4054"/>
      <w:gridCol w:w="1711"/>
    </w:tblGrid>
    <w:tr w:rsidR="00D377B6" w:rsidRPr="0061745A" w14:paraId="24C9C00D" w14:textId="77777777" w:rsidTr="00D377B6">
      <w:tc>
        <w:tcPr>
          <w:tcW w:w="3261" w:type="dxa"/>
        </w:tcPr>
        <w:p w14:paraId="5AE0343E" w14:textId="77777777" w:rsidR="00D377B6" w:rsidRDefault="00D377B6" w:rsidP="006A7D49">
          <w:pPr>
            <w:pStyle w:val="Header"/>
            <w:rPr>
              <w:rFonts w:asciiTheme="minorHAnsi" w:hAnsiTheme="minorHAnsi" w:cstheme="minorHAnsi"/>
            </w:rPr>
          </w:pPr>
          <w:r>
            <w:rPr>
              <w:rFonts w:asciiTheme="minorHAnsi" w:hAnsiTheme="minorHAnsi" w:cstheme="minorHAnsi"/>
            </w:rPr>
            <w:t>University of Galway</w:t>
          </w:r>
          <w:r w:rsidRPr="009A2BEA">
            <w:rPr>
              <w:rFonts w:asciiTheme="minorHAnsi" w:hAnsiTheme="minorHAnsi" w:cstheme="minorHAnsi"/>
            </w:rPr>
            <w:t xml:space="preserve">  </w:t>
          </w:r>
        </w:p>
        <w:p w14:paraId="0B04E3FD" w14:textId="5CE8BFF9" w:rsidR="00D377B6" w:rsidRPr="009A2BEA" w:rsidRDefault="00D377B6" w:rsidP="006A7D49">
          <w:pPr>
            <w:pStyle w:val="Header"/>
            <w:rPr>
              <w:rFonts w:asciiTheme="minorHAnsi" w:hAnsiTheme="minorHAnsi" w:cstheme="minorHAnsi"/>
            </w:rPr>
          </w:pPr>
          <w:r>
            <w:rPr>
              <w:rFonts w:asciiTheme="minorHAnsi" w:hAnsiTheme="minorHAnsi" w:cstheme="minorHAnsi"/>
            </w:rPr>
            <w:t>University of Limerick</w:t>
          </w:r>
          <w:r w:rsidRPr="009A2BEA">
            <w:rPr>
              <w:rFonts w:asciiTheme="minorHAnsi" w:hAnsiTheme="minorHAnsi" w:cstheme="minorHAnsi"/>
            </w:rPr>
            <w:fldChar w:fldCharType="begin"/>
          </w:r>
          <w:r w:rsidRPr="009A2BEA">
            <w:rPr>
              <w:rFonts w:asciiTheme="minorHAnsi" w:hAnsiTheme="minorHAnsi" w:cstheme="minorHAnsi"/>
            </w:rPr>
            <w:instrText xml:space="preserve"> DOCPROPERTY  ClientNumber \* MERGEFORMAT </w:instrText>
          </w:r>
          <w:r w:rsidRPr="009A2BEA">
            <w:rPr>
              <w:rFonts w:asciiTheme="minorHAnsi" w:hAnsiTheme="minorHAnsi" w:cstheme="minorHAnsi"/>
            </w:rPr>
            <w:fldChar w:fldCharType="end"/>
          </w:r>
          <w:r w:rsidRPr="0061745A">
            <w:rPr>
              <w:rFonts w:asciiTheme="minorHAnsi" w:hAnsiTheme="minorHAnsi" w:cstheme="minorHAnsi"/>
            </w:rPr>
            <w:fldChar w:fldCharType="begin"/>
          </w:r>
          <w:r w:rsidRPr="009A2BEA">
            <w:rPr>
              <w:rFonts w:asciiTheme="minorHAnsi" w:hAnsiTheme="minorHAnsi" w:cstheme="minorHAnsi"/>
            </w:rPr>
            <w:instrText xml:space="preserve"> IF </w:instrText>
          </w:r>
          <w:r w:rsidRPr="009A2BEA">
            <w:rPr>
              <w:rFonts w:asciiTheme="minorHAnsi" w:hAnsiTheme="minorHAnsi" w:cstheme="minorHAnsi"/>
            </w:rPr>
            <w:fldChar w:fldCharType="begin"/>
          </w:r>
          <w:r w:rsidRPr="009A2BEA">
            <w:rPr>
              <w:rFonts w:asciiTheme="minorHAnsi" w:hAnsiTheme="minorHAnsi" w:cstheme="minorHAnsi"/>
            </w:rPr>
            <w:instrText xml:space="preserve"> DOCPROPERTY  PreparedFor </w:instrText>
          </w:r>
          <w:r w:rsidRPr="009A2BEA">
            <w:rPr>
              <w:rFonts w:asciiTheme="minorHAnsi" w:hAnsiTheme="minorHAnsi" w:cstheme="minorHAnsi"/>
            </w:rPr>
            <w:fldChar w:fldCharType="separate"/>
          </w:r>
          <w:r>
            <w:rPr>
              <w:rFonts w:asciiTheme="minorHAnsi" w:hAnsiTheme="minorHAnsi" w:cstheme="minorHAnsi"/>
            </w:rPr>
            <w:instrText xml:space="preserve">Prepared for: </w:instrText>
          </w:r>
          <w:r w:rsidRPr="009A2BEA">
            <w:rPr>
              <w:rFonts w:asciiTheme="minorHAnsi" w:hAnsiTheme="minorHAnsi" w:cstheme="minorHAnsi"/>
            </w:rPr>
            <w:fldChar w:fldCharType="end"/>
          </w:r>
          <w:r w:rsidRPr="009A2BEA">
            <w:rPr>
              <w:rFonts w:asciiTheme="minorHAnsi" w:hAnsiTheme="minorHAnsi" w:cstheme="minorHAnsi"/>
            </w:rPr>
            <w:instrText xml:space="preserve"> = " " "" "</w:instrText>
          </w:r>
        </w:p>
        <w:p w14:paraId="5C557933" w14:textId="77777777" w:rsidR="0069617A" w:rsidRPr="009A2BEA" w:rsidRDefault="00D377B6" w:rsidP="006A7D49">
          <w:pPr>
            <w:pStyle w:val="Header"/>
            <w:rPr>
              <w:rFonts w:asciiTheme="minorHAnsi" w:hAnsiTheme="minorHAnsi" w:cstheme="minorHAnsi"/>
            </w:rPr>
          </w:pPr>
          <w:r w:rsidRPr="009A2BEA">
            <w:rPr>
              <w:rFonts w:asciiTheme="minorHAnsi" w:hAnsiTheme="minorHAnsi" w:cstheme="minorHAnsi"/>
            </w:rPr>
            <w:instrText xml:space="preserve">" </w:instrText>
          </w:r>
          <w:r w:rsidRPr="0061745A">
            <w:rPr>
              <w:rFonts w:asciiTheme="minorHAnsi" w:hAnsiTheme="minorHAnsi" w:cstheme="minorHAnsi"/>
            </w:rPr>
            <w:fldChar w:fldCharType="separate"/>
          </w:r>
        </w:p>
        <w:p w14:paraId="1E3CF705" w14:textId="20E0E303" w:rsidR="00D377B6" w:rsidRPr="0061745A" w:rsidRDefault="00D377B6" w:rsidP="006A7D49">
          <w:pPr>
            <w:pStyle w:val="Footer"/>
          </w:pPr>
          <w:r w:rsidRPr="0061745A">
            <w:fldChar w:fldCharType="end"/>
          </w:r>
          <w:r w:rsidRPr="0061745A">
            <w:fldChar w:fldCharType="begin"/>
          </w:r>
          <w:r w:rsidRPr="0061745A">
            <w:instrText xml:space="preserve"> if </w:instrText>
          </w:r>
          <w:fldSimple w:instr="DOCPROPERTY  ShowFilePath \* MERGEFORMAT">
            <w:r>
              <w:instrText>0</w:instrText>
            </w:r>
          </w:fldSimple>
          <w:r w:rsidRPr="0061745A">
            <w:instrText xml:space="preserve">  = 1  </w:instrText>
          </w:r>
          <w:fldSimple w:instr="FILENAME \p   \* MERGEFORMAT">
            <w:r w:rsidRPr="0061745A">
              <w:instrText>Document7</w:instrText>
            </w:r>
          </w:fldSimple>
          <w:r w:rsidRPr="0061745A">
            <w:instrText xml:space="preserve">  </w:instrText>
          </w:r>
          <w:r w:rsidRPr="0061745A">
            <w:fldChar w:fldCharType="end"/>
          </w:r>
          <w:r w:rsidRPr="0061745A">
            <w:fldChar w:fldCharType="begin"/>
          </w:r>
          <w:r w:rsidRPr="0061745A">
            <w:instrText xml:space="preserve"> if </w:instrText>
          </w:r>
          <w:fldSimple w:instr="DOCPROPERTY  ShowFileName \* MERGEFORMAT">
            <w:r>
              <w:instrText>0</w:instrText>
            </w:r>
          </w:fldSimple>
          <w:r w:rsidRPr="0061745A">
            <w:instrText xml:space="preserve">  = 1  </w:instrText>
          </w:r>
          <w:fldSimple w:instr="FILENAME   \* MERGEFORMAT">
            <w:r w:rsidRPr="0061745A">
              <w:instrText>C:\Data\Word97\Template\Aecom\Aecom_Letter.Dotm</w:instrText>
            </w:r>
          </w:fldSimple>
          <w:r w:rsidRPr="0061745A">
            <w:instrText xml:space="preserve">  </w:instrText>
          </w:r>
          <w:r w:rsidRPr="0061745A">
            <w:fldChar w:fldCharType="end"/>
          </w:r>
        </w:p>
      </w:tc>
      <w:tc>
        <w:tcPr>
          <w:tcW w:w="4054" w:type="dxa"/>
          <w:vAlign w:val="bottom"/>
        </w:tcPr>
        <w:p w14:paraId="280603DD" w14:textId="77777777" w:rsidR="00D377B6" w:rsidRDefault="00D377B6" w:rsidP="00D377B6">
          <w:pPr>
            <w:pStyle w:val="Header"/>
            <w:rPr>
              <w:rFonts w:asciiTheme="minorHAnsi" w:hAnsiTheme="minorHAnsi" w:cstheme="minorHAnsi"/>
            </w:rPr>
          </w:pPr>
          <w:r>
            <w:rPr>
              <w:rFonts w:asciiTheme="minorHAnsi" w:hAnsiTheme="minorHAnsi" w:cstheme="minorHAnsi"/>
            </w:rPr>
            <w:t>Reinstatement Cost Consultancy Services</w:t>
          </w:r>
        </w:p>
        <w:p w14:paraId="09CEF80D" w14:textId="77777777" w:rsidR="00D377B6" w:rsidRDefault="00D377B6" w:rsidP="00D377B6">
          <w:pPr>
            <w:pStyle w:val="Header"/>
            <w:rPr>
              <w:rFonts w:asciiTheme="minorHAnsi" w:hAnsiTheme="minorHAnsi" w:cstheme="minorHAnsi"/>
            </w:rPr>
          </w:pPr>
          <w:r>
            <w:rPr>
              <w:rFonts w:asciiTheme="minorHAnsi" w:hAnsiTheme="minorHAnsi" w:cstheme="minorHAnsi"/>
            </w:rPr>
            <w:t>Project Information Memorandum and Scope of Services</w:t>
          </w:r>
        </w:p>
        <w:p w14:paraId="0DA1E584" w14:textId="1785B78D" w:rsidR="00D377B6" w:rsidRPr="0061745A" w:rsidRDefault="00D377B6" w:rsidP="000364E3">
          <w:pPr>
            <w:pStyle w:val="Footer"/>
            <w:jc w:val="right"/>
          </w:pPr>
          <w:r w:rsidRPr="0061745A">
            <w:fldChar w:fldCharType="begin"/>
          </w:r>
          <w:r w:rsidRPr="0061745A">
            <w:instrText xml:space="preserve"> if </w:instrText>
          </w:r>
          <w:r w:rsidRPr="0061745A">
            <w:fldChar w:fldCharType="begin"/>
          </w:r>
          <w:r w:rsidRPr="0061745A">
            <w:instrText xml:space="preserve"> DOCPROPERTY  AdditionalCompanyName </w:instrText>
          </w:r>
          <w:r w:rsidRPr="0061745A">
            <w:fldChar w:fldCharType="end"/>
          </w:r>
          <w:r w:rsidRPr="0061745A">
            <w:instrText xml:space="preserve">  = "" "" "  |  "</w:instrText>
          </w:r>
          <w:r w:rsidRPr="0061745A">
            <w:fldChar w:fldCharType="end"/>
          </w:r>
          <w:r w:rsidRPr="0061745A">
            <w:fldChar w:fldCharType="begin"/>
          </w:r>
          <w:r w:rsidRPr="0061745A">
            <w:instrText xml:space="preserve"> DOCPROPERTY  AdditionalCompanyName \* MERGEFORMAT </w:instrText>
          </w:r>
          <w:r w:rsidRPr="0061745A">
            <w:fldChar w:fldCharType="end"/>
          </w:r>
        </w:p>
      </w:tc>
      <w:tc>
        <w:tcPr>
          <w:tcW w:w="1711" w:type="dxa"/>
        </w:tcPr>
        <w:p w14:paraId="79CF67B0" w14:textId="058D0267" w:rsidR="00D377B6" w:rsidRPr="0061745A" w:rsidRDefault="00D377B6" w:rsidP="00D377B6">
          <w:pPr>
            <w:pStyle w:val="Footer"/>
            <w:jc w:val="right"/>
          </w:pPr>
          <w:r w:rsidRPr="0061745A">
            <w:fldChar w:fldCharType="begin"/>
          </w:r>
          <w:r w:rsidRPr="0061745A">
            <w:instrText xml:space="preserve"> page </w:instrText>
          </w:r>
          <w:r w:rsidRPr="0061745A">
            <w:fldChar w:fldCharType="separate"/>
          </w:r>
          <w:r>
            <w:t>20</w:t>
          </w:r>
          <w:r w:rsidRPr="0061745A">
            <w:fldChar w:fldCharType="end"/>
          </w:r>
        </w:p>
      </w:tc>
    </w:tr>
  </w:tbl>
  <w:p w14:paraId="6AD988F6" w14:textId="77777777" w:rsidR="00184160" w:rsidRPr="0061745A" w:rsidRDefault="00184160" w:rsidP="00493CF1">
    <w:pPr>
      <w:pStyle w:val="Footer"/>
      <w:jc w:val="right"/>
    </w:pPr>
  </w:p>
  <w:p w14:paraId="199892D5" w14:textId="77777777" w:rsidR="00184160" w:rsidRDefault="00184160" w:rsidP="003F7B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E2D0B" w14:textId="77777777" w:rsidR="00AC125C" w:rsidRPr="00253171" w:rsidRDefault="00AC125C" w:rsidP="00253171">
      <w:pPr>
        <w:rPr>
          <w:color w:val="008768" w:themeColor="accent1"/>
        </w:rPr>
      </w:pPr>
      <w:r w:rsidRPr="00253171">
        <w:rPr>
          <w:color w:val="008768" w:themeColor="accent1"/>
        </w:rPr>
        <w:separator/>
      </w:r>
      <w:r w:rsidRPr="00253171">
        <w:rPr>
          <w:color w:val="008768" w:themeColor="accent1"/>
        </w:rPr>
        <w:separator/>
      </w:r>
    </w:p>
  </w:footnote>
  <w:footnote w:type="continuationSeparator" w:id="0">
    <w:p w14:paraId="1A5C5461" w14:textId="77777777" w:rsidR="00AC125C" w:rsidRPr="00253171" w:rsidRDefault="00AC125C" w:rsidP="00253171">
      <w:pPr>
        <w:rPr>
          <w:color w:val="008768" w:themeColor="accent1"/>
        </w:rPr>
      </w:pPr>
      <w:r w:rsidRPr="00253171">
        <w:rPr>
          <w:color w:val="008768" w:themeColor="accent1"/>
        </w:rPr>
        <w:separator/>
      </w:r>
      <w:r w:rsidRPr="00253171">
        <w:rPr>
          <w:color w:val="008768" w:themeColor="accent1"/>
        </w:rPr>
        <w:separator/>
      </w:r>
    </w:p>
  </w:footnote>
  <w:footnote w:type="continuationNotice" w:id="1">
    <w:p w14:paraId="0C1748E0" w14:textId="77777777" w:rsidR="00AC125C" w:rsidRDefault="00AC12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184160" w14:paraId="612BA0CA" w14:textId="77777777" w:rsidTr="3756B6F4">
      <w:trPr>
        <w:trHeight w:val="300"/>
      </w:trPr>
      <w:tc>
        <w:tcPr>
          <w:tcW w:w="3005" w:type="dxa"/>
        </w:tcPr>
        <w:p w14:paraId="0FCE1F87" w14:textId="62B3F667" w:rsidR="00184160" w:rsidRDefault="3756B6F4" w:rsidP="3756B6F4">
          <w:pPr>
            <w:ind w:left="-115"/>
            <w:rPr>
              <w:rFonts w:ascii="Arial" w:eastAsia="Arial" w:hAnsi="Arial" w:cs="Arial"/>
              <w:sz w:val="28"/>
              <w:szCs w:val="28"/>
            </w:rPr>
          </w:pPr>
          <w:r>
            <w:rPr>
              <w:noProof/>
            </w:rPr>
            <w:drawing>
              <wp:inline distT="0" distB="0" distL="0" distR="0" wp14:anchorId="42F4F105" wp14:editId="34E1BEF1">
                <wp:extent cx="1755064" cy="467590"/>
                <wp:effectExtent l="0" t="0" r="2540" b="0"/>
                <wp:docPr id="798391242" name="Picture 3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pic:nvPicPr>
                      <pic:blipFill>
                        <a:blip r:embed="rId1">
                          <a:extLst>
                            <a:ext uri="{28A0092B-C50C-407E-A947-70E740481C1C}">
                              <a14:useLocalDpi xmlns:a14="http://schemas.microsoft.com/office/drawing/2010/main" val="0"/>
                            </a:ext>
                          </a:extLst>
                        </a:blip>
                        <a:stretch>
                          <a:fillRect/>
                        </a:stretch>
                      </pic:blipFill>
                      <pic:spPr bwMode="auto">
                        <a:xfrm>
                          <a:off x="0" y="0"/>
                          <a:ext cx="1755064" cy="467590"/>
                        </a:xfrm>
                        <a:prstGeom prst="rect">
                          <a:avLst/>
                        </a:prstGeom>
                        <a:noFill/>
                        <a:ln>
                          <a:noFill/>
                        </a:ln>
                      </pic:spPr>
                    </pic:pic>
                  </a:graphicData>
                </a:graphic>
              </wp:inline>
            </w:drawing>
          </w:r>
        </w:p>
      </w:tc>
      <w:tc>
        <w:tcPr>
          <w:tcW w:w="3005" w:type="dxa"/>
        </w:tcPr>
        <w:p w14:paraId="43028289" w14:textId="558E8881" w:rsidR="00184160" w:rsidRDefault="00FA01CF" w:rsidP="00FA01CF">
          <w:pPr>
            <w:pStyle w:val="Header"/>
            <w:jc w:val="center"/>
          </w:pPr>
          <w:r w:rsidRPr="00FA01CF">
            <w:rPr>
              <w:rFonts w:ascii="Aptos" w:eastAsia="Aptos" w:hAnsi="Aptos"/>
              <w:kern w:val="2"/>
              <w:sz w:val="22"/>
              <w:szCs w:val="22"/>
              <w:lang w:eastAsia="en-US"/>
              <w14:ligatures w14:val="standardContextual"/>
            </w:rPr>
            <w:drawing>
              <wp:inline distT="0" distB="0" distL="0" distR="0" wp14:anchorId="5817A16A" wp14:editId="1D985692">
                <wp:extent cx="581025" cy="853082"/>
                <wp:effectExtent l="0" t="0" r="0" b="4445"/>
                <wp:docPr id="286810521" name="Picture 1" descr="A blue green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ue green and white logo&#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0598" cy="867138"/>
                        </a:xfrm>
                        <a:prstGeom prst="rect">
                          <a:avLst/>
                        </a:prstGeom>
                        <a:noFill/>
                        <a:ln>
                          <a:noFill/>
                        </a:ln>
                      </pic:spPr>
                    </pic:pic>
                  </a:graphicData>
                </a:graphic>
              </wp:inline>
            </w:drawing>
          </w:r>
        </w:p>
      </w:tc>
      <w:tc>
        <w:tcPr>
          <w:tcW w:w="3005" w:type="dxa"/>
        </w:tcPr>
        <w:p w14:paraId="061D0298" w14:textId="10C15F5B" w:rsidR="00184160" w:rsidRDefault="3756B6F4" w:rsidP="3756B6F4">
          <w:pPr>
            <w:ind w:right="-115"/>
            <w:jc w:val="right"/>
          </w:pPr>
          <w:r>
            <w:rPr>
              <w:noProof/>
            </w:rPr>
            <w:drawing>
              <wp:inline distT="0" distB="0" distL="0" distR="0" wp14:anchorId="57685CC8" wp14:editId="27C633FC">
                <wp:extent cx="1323975" cy="603330"/>
                <wp:effectExtent l="0" t="0" r="0" b="0"/>
                <wp:docPr id="1179707117" name="Picture 1179707117" descr="C:\Users\0100397s\OneDrive - National University of Ireland, Galway\2021 Reinstatement Cost Consultancy Services\UL_Master_Logo_RBG.jpg,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1323975" cy="603330"/>
                        </a:xfrm>
                        <a:prstGeom prst="rect">
                          <a:avLst/>
                        </a:prstGeom>
                      </pic:spPr>
                    </pic:pic>
                  </a:graphicData>
                </a:graphic>
              </wp:inline>
            </w:drawing>
          </w:r>
          <w:r w:rsidR="00184160">
            <w:br/>
          </w:r>
        </w:p>
      </w:tc>
    </w:tr>
  </w:tbl>
  <w:p w14:paraId="47D92D50" w14:textId="2A7C0FEC" w:rsidR="00184160" w:rsidRDefault="00184160" w:rsidP="5C9C72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59806" w14:textId="0DFE3A3F" w:rsidR="3756B6F4" w:rsidRDefault="3756B6F4"/>
  <w:tbl>
    <w:tblPr>
      <w:tblStyle w:val="Plaingrid"/>
      <w:tblW w:w="10315" w:type="dxa"/>
      <w:tblLook w:val="04A0" w:firstRow="1" w:lastRow="0" w:firstColumn="1" w:lastColumn="0" w:noHBand="0" w:noVBand="1"/>
    </w:tblPr>
    <w:tblGrid>
      <w:gridCol w:w="3678"/>
      <w:gridCol w:w="2445"/>
      <w:gridCol w:w="4192"/>
    </w:tblGrid>
    <w:tr w:rsidR="00184160" w:rsidRPr="0061745A" w14:paraId="3A511522" w14:textId="77777777" w:rsidTr="5D347E28">
      <w:trPr>
        <w:trHeight w:val="460"/>
      </w:trPr>
      <w:tc>
        <w:tcPr>
          <w:tcW w:w="3678" w:type="dxa"/>
          <w:vAlign w:val="center"/>
        </w:tcPr>
        <w:p w14:paraId="37A878BA" w14:textId="60E45816" w:rsidR="00184160" w:rsidRPr="0061745A" w:rsidRDefault="5D347E28" w:rsidP="5D347E28">
          <w:pPr>
            <w:jc w:val="center"/>
            <w:rPr>
              <w:rFonts w:ascii="Arial" w:eastAsia="Arial" w:hAnsi="Arial" w:cs="Arial"/>
              <w:sz w:val="28"/>
              <w:szCs w:val="28"/>
            </w:rPr>
          </w:pPr>
          <w:r>
            <w:rPr>
              <w:noProof/>
            </w:rPr>
            <w:drawing>
              <wp:inline distT="0" distB="0" distL="0" distR="0" wp14:anchorId="2C55BBD5" wp14:editId="2F1730DF">
                <wp:extent cx="2264254" cy="603250"/>
                <wp:effectExtent l="0" t="0" r="3175" b="6350"/>
                <wp:docPr id="641365598" name="Picture 3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pic:nvPicPr>
                      <pic:blipFill>
                        <a:blip r:embed="rId1">
                          <a:extLst>
                            <a:ext uri="{28A0092B-C50C-407E-A947-70E740481C1C}">
                              <a14:useLocalDpi xmlns:a14="http://schemas.microsoft.com/office/drawing/2010/main" val="0"/>
                            </a:ext>
                          </a:extLst>
                        </a:blip>
                        <a:stretch>
                          <a:fillRect/>
                        </a:stretch>
                      </pic:blipFill>
                      <pic:spPr>
                        <a:xfrm>
                          <a:off x="0" y="0"/>
                          <a:ext cx="2264254" cy="603250"/>
                        </a:xfrm>
                        <a:prstGeom prst="rect">
                          <a:avLst/>
                        </a:prstGeom>
                      </pic:spPr>
                    </pic:pic>
                  </a:graphicData>
                </a:graphic>
              </wp:inline>
            </w:drawing>
          </w:r>
        </w:p>
      </w:tc>
      <w:tc>
        <w:tcPr>
          <w:tcW w:w="2445" w:type="dxa"/>
          <w:vAlign w:val="center"/>
        </w:tcPr>
        <w:p w14:paraId="552C3709" w14:textId="6F946FA8" w:rsidR="00184160" w:rsidRPr="0061745A" w:rsidRDefault="00FA01CF" w:rsidP="00FA01CF">
          <w:pPr>
            <w:pStyle w:val="Header"/>
            <w:jc w:val="right"/>
          </w:pPr>
          <w:r w:rsidRPr="00FA01CF">
            <w:rPr>
              <w:rFonts w:ascii="Aptos" w:eastAsia="Aptos" w:hAnsi="Aptos"/>
              <w:kern w:val="2"/>
              <w:sz w:val="22"/>
              <w:szCs w:val="22"/>
              <w:lang w:eastAsia="en-US"/>
              <w14:ligatures w14:val="standardContextual"/>
            </w:rPr>
            <w:drawing>
              <wp:inline distT="0" distB="0" distL="0" distR="0" wp14:anchorId="2C8C70BA" wp14:editId="22CD4A3E">
                <wp:extent cx="581025" cy="853082"/>
                <wp:effectExtent l="0" t="0" r="0" b="4445"/>
                <wp:docPr id="2052669437" name="Picture 1" descr="A blue green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ue green and white logo&#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0598" cy="867138"/>
                        </a:xfrm>
                        <a:prstGeom prst="rect">
                          <a:avLst/>
                        </a:prstGeom>
                        <a:noFill/>
                        <a:ln>
                          <a:noFill/>
                        </a:ln>
                      </pic:spPr>
                    </pic:pic>
                  </a:graphicData>
                </a:graphic>
              </wp:inline>
            </w:drawing>
          </w:r>
          <w:r w:rsidR="00184160">
            <w:fldChar w:fldCharType="begin"/>
          </w:r>
          <w:r w:rsidR="00184160">
            <w:instrText xml:space="preserve"> DOCPROPERTY  ProtectiveMarking \* MERGEFORMAT </w:instrText>
          </w:r>
          <w:r w:rsidR="00184160">
            <w:fldChar w:fldCharType="end"/>
          </w:r>
          <w:r w:rsidR="00184160">
            <w:fldChar w:fldCharType="begin"/>
          </w:r>
          <w:r w:rsidR="00184160">
            <w:instrText xml:space="preserve"> IF </w:instrText>
          </w:r>
          <w:r w:rsidR="00184160">
            <w:fldChar w:fldCharType="begin"/>
          </w:r>
          <w:r w:rsidR="00184160">
            <w:instrText xml:space="preserve"> DOCPROPERTY  ProtectiveMarking </w:instrText>
          </w:r>
          <w:r w:rsidR="00184160">
            <w:fldChar w:fldCharType="end"/>
          </w:r>
          <w:r w:rsidR="00184160">
            <w:instrText xml:space="preserve"> = "" "" "</w:instrText>
          </w:r>
        </w:p>
        <w:p w14:paraId="1C482857" w14:textId="5F91FAED" w:rsidR="00184160" w:rsidRPr="0061745A" w:rsidRDefault="00184160" w:rsidP="00FA01CF">
          <w:pPr>
            <w:pStyle w:val="Header"/>
            <w:jc w:val="right"/>
          </w:pPr>
          <w:r>
            <w:instrText xml:space="preserve">" </w:instrText>
          </w:r>
          <w:r w:rsidR="00FA01CF">
            <w:drawing>
              <wp:inline distT="0" distB="0" distL="0" distR="0" wp14:anchorId="4236058F" wp14:editId="2D801B7D">
                <wp:extent cx="581025" cy="853082"/>
                <wp:effectExtent l="0" t="0" r="0" b="4445"/>
                <wp:docPr id="1991397273" name="Picture 1" descr="A blue green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ue green and white logo&#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0598" cy="867138"/>
                        </a:xfrm>
                        <a:prstGeom prst="rect">
                          <a:avLst/>
                        </a:prstGeom>
                        <a:noFill/>
                        <a:ln>
                          <a:noFill/>
                        </a:ln>
                      </pic:spPr>
                    </pic:pic>
                  </a:graphicData>
                </a:graphic>
              </wp:inline>
            </w:drawing>
          </w:r>
          <w:r>
            <w:fldChar w:fldCharType="end"/>
          </w:r>
          <w:fldSimple w:instr="DOCPROPERTY  Draft \* MERGEFORMAT">
            <w:r w:rsidR="00D377B6">
              <w:t xml:space="preserve"> </w:t>
            </w:r>
          </w:fldSimple>
        </w:p>
      </w:tc>
      <w:tc>
        <w:tcPr>
          <w:tcW w:w="4192" w:type="dxa"/>
          <w:vAlign w:val="center"/>
        </w:tcPr>
        <w:p w14:paraId="174063CE" w14:textId="227B3B96" w:rsidR="00184160" w:rsidRPr="0061745A" w:rsidRDefault="00C209C2" w:rsidP="5D347E28">
          <w:pPr>
            <w:pStyle w:val="Header"/>
            <w:jc w:val="center"/>
          </w:pPr>
          <w:r>
            <w:t xml:space="preserve">                       </w:t>
          </w:r>
          <w:r w:rsidR="00E4202B">
            <w:drawing>
              <wp:inline distT="0" distB="0" distL="0" distR="0" wp14:anchorId="5D68F138" wp14:editId="1DFADE97">
                <wp:extent cx="1447624" cy="659677"/>
                <wp:effectExtent l="0" t="0" r="635" b="7620"/>
                <wp:docPr id="1" name="Picture 1" descr="C:\Users\0100397s\OneDrive - National University of Ireland, Galway\2021 Reinstatement Cost Consultancy Services\UL_Master_Logo_RBG.jpg,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3">
                          <a:extLst>
                            <a:ext uri="{28A0092B-C50C-407E-A947-70E740481C1C}">
                              <a14:useLocalDpi xmlns:a14="http://schemas.microsoft.com/office/drawing/2010/main" val="0"/>
                            </a:ext>
                          </a:extLst>
                        </a:blip>
                        <a:stretch>
                          <a:fillRect/>
                        </a:stretch>
                      </pic:blipFill>
                      <pic:spPr>
                        <a:xfrm>
                          <a:off x="0" y="0"/>
                          <a:ext cx="1447624" cy="659677"/>
                        </a:xfrm>
                        <a:prstGeom prst="rect">
                          <a:avLst/>
                        </a:prstGeom>
                      </pic:spPr>
                    </pic:pic>
                  </a:graphicData>
                </a:graphic>
              </wp:inline>
            </w:drawing>
          </w:r>
          <w:r>
            <w:t xml:space="preserve">                            </w:t>
          </w:r>
          <w:fldSimple w:instr="DOCPROPERTY  HeaderClient \* MERGEFORMAT">
            <w:r w:rsidR="00D377B6">
              <w:t xml:space="preserve"> </w:t>
            </w:r>
          </w:fldSimple>
          <w:r w:rsidR="00E4202B">
            <w:t xml:space="preserve">                 </w:t>
          </w:r>
          <w:r w:rsidR="00184160">
            <w:fldChar w:fldCharType="begin"/>
          </w:r>
          <w:r w:rsidR="00703D8B">
            <w:instrText xml:space="preserve"> IF </w:instrText>
          </w:r>
          <w:r w:rsidR="00703D8B">
            <w:fldChar w:fldCharType="begin"/>
          </w:r>
          <w:r w:rsidR="00703D8B">
            <w:instrText xml:space="preserve"> DOCPROPERTY  HeaderClient </w:instrText>
          </w:r>
          <w:r w:rsidR="00703D8B">
            <w:fldChar w:fldCharType="separate"/>
          </w:r>
          <w:r w:rsidR="00D377B6">
            <w:instrText xml:space="preserve"> </w:instrText>
          </w:r>
          <w:r w:rsidR="00703D8B">
            <w:fldChar w:fldCharType="end"/>
          </w:r>
          <w:r w:rsidR="00703D8B">
            <w:instrText xml:space="preserve"> = "" "" "</w:instrText>
          </w:r>
        </w:p>
        <w:p w14:paraId="0282D08A" w14:textId="77777777" w:rsidR="0069617A" w:rsidRPr="0061745A" w:rsidRDefault="00184160" w:rsidP="5D347E28">
          <w:pPr>
            <w:pStyle w:val="Header"/>
            <w:jc w:val="center"/>
          </w:pPr>
          <w:r>
            <w:instrText xml:space="preserve">" </w:instrText>
          </w:r>
          <w:r>
            <w:fldChar w:fldCharType="separate"/>
          </w:r>
        </w:p>
        <w:p w14:paraId="1ABBE289" w14:textId="3467881D" w:rsidR="00184160" w:rsidRPr="0061745A" w:rsidRDefault="00184160" w:rsidP="5D347E28">
          <w:pPr>
            <w:pStyle w:val="Header"/>
            <w:jc w:val="center"/>
          </w:pPr>
          <w:r>
            <w:fldChar w:fldCharType="end"/>
          </w:r>
          <w:fldSimple w:instr="DOCPROPERTY  ProjectRef \* MERGEFORMAT">
            <w:r w:rsidR="00D377B6">
              <w:t xml:space="preserve"> </w:t>
            </w:r>
          </w:fldSimple>
          <w:r>
            <w:fldChar w:fldCharType="begin"/>
          </w:r>
          <w:r>
            <w:instrText xml:space="preserve"> IF </w:instrText>
          </w:r>
          <w:r>
            <w:fldChar w:fldCharType="begin"/>
          </w:r>
          <w:r>
            <w:instrText xml:space="preserve"> DOCPROPERTY  ProjectRef </w:instrText>
          </w:r>
          <w:r>
            <w:fldChar w:fldCharType="separate"/>
          </w:r>
          <w:r w:rsidR="00D377B6">
            <w:instrText xml:space="preserve"> </w:instrText>
          </w:r>
          <w:r>
            <w:fldChar w:fldCharType="end"/>
          </w:r>
          <w:r>
            <w:instrText xml:space="preserve"> = " " "" "</w:instrText>
          </w:r>
        </w:p>
        <w:p w14:paraId="34EE7025" w14:textId="33195738" w:rsidR="00184160" w:rsidRPr="0061745A" w:rsidRDefault="00184160" w:rsidP="5D347E28">
          <w:pPr>
            <w:pStyle w:val="Header"/>
            <w:jc w:val="center"/>
          </w:pPr>
          <w:r>
            <w:instrText xml:space="preserve">" </w:instrText>
          </w:r>
          <w:r>
            <w:fldChar w:fldCharType="end"/>
          </w:r>
          <w:fldSimple w:instr="DOCPROPERTY  ProjectNumber \* MERGEFORMAT">
            <w:r w:rsidR="00D377B6">
              <w:t xml:space="preserve"> </w:t>
            </w:r>
          </w:fldSimple>
        </w:p>
      </w:tc>
    </w:tr>
  </w:tbl>
  <w:p w14:paraId="53A47D16" w14:textId="3170D30A" w:rsidR="00184160" w:rsidRPr="0061745A" w:rsidRDefault="001841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Plaingrid"/>
      <w:tblW w:w="5732" w:type="pct"/>
      <w:tblInd w:w="-709" w:type="dxa"/>
      <w:tblLook w:val="04A0" w:firstRow="1" w:lastRow="0" w:firstColumn="1" w:lastColumn="0" w:noHBand="0" w:noVBand="1"/>
    </w:tblPr>
    <w:tblGrid>
      <w:gridCol w:w="4536"/>
      <w:gridCol w:w="2200"/>
      <w:gridCol w:w="3611"/>
    </w:tblGrid>
    <w:tr w:rsidR="00184160" w:rsidRPr="0061745A" w14:paraId="04144B33" w14:textId="77777777" w:rsidTr="00D377B6">
      <w:trPr>
        <w:trHeight w:val="460"/>
      </w:trPr>
      <w:tc>
        <w:tcPr>
          <w:tcW w:w="4537" w:type="dxa"/>
          <w:vAlign w:val="bottom"/>
        </w:tcPr>
        <w:p w14:paraId="5EC017B5" w14:textId="349EC49C" w:rsidR="005A6DE5" w:rsidRPr="0061745A" w:rsidRDefault="00D377B6" w:rsidP="00D377B6">
          <w:pPr>
            <w:pStyle w:val="Header"/>
          </w:pPr>
          <w:r>
            <w:drawing>
              <wp:inline distT="0" distB="0" distL="0" distR="0" wp14:anchorId="49E96273" wp14:editId="1972B517">
                <wp:extent cx="2264254" cy="603250"/>
                <wp:effectExtent l="0" t="0" r="3175" b="6350"/>
                <wp:docPr id="2" name="Picture 3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pic:nvPicPr>
                      <pic:blipFill>
                        <a:blip r:embed="rId1">
                          <a:extLst>
                            <a:ext uri="{28A0092B-C50C-407E-A947-70E740481C1C}">
                              <a14:useLocalDpi xmlns:a14="http://schemas.microsoft.com/office/drawing/2010/main" val="0"/>
                            </a:ext>
                          </a:extLst>
                        </a:blip>
                        <a:stretch>
                          <a:fillRect/>
                        </a:stretch>
                      </pic:blipFill>
                      <pic:spPr>
                        <a:xfrm>
                          <a:off x="0" y="0"/>
                          <a:ext cx="2264254" cy="603250"/>
                        </a:xfrm>
                        <a:prstGeom prst="rect">
                          <a:avLst/>
                        </a:prstGeom>
                      </pic:spPr>
                    </pic:pic>
                  </a:graphicData>
                </a:graphic>
              </wp:inline>
            </w:drawing>
          </w:r>
        </w:p>
      </w:tc>
      <w:tc>
        <w:tcPr>
          <w:tcW w:w="2200" w:type="dxa"/>
        </w:tcPr>
        <w:p w14:paraId="0A5A6A07" w14:textId="30B1C2A0" w:rsidR="00184160" w:rsidRPr="0061745A" w:rsidRDefault="00D431DA" w:rsidP="00566185">
          <w:pPr>
            <w:pStyle w:val="Header"/>
            <w:jc w:val="center"/>
          </w:pPr>
          <w:r w:rsidRPr="00FA01CF">
            <w:rPr>
              <w:rFonts w:ascii="Aptos" w:eastAsia="Aptos" w:hAnsi="Aptos"/>
              <w:kern w:val="2"/>
              <w:sz w:val="22"/>
              <w:szCs w:val="22"/>
              <w:lang w:eastAsia="en-US"/>
              <w14:ligatures w14:val="standardContextual"/>
            </w:rPr>
            <w:drawing>
              <wp:inline distT="0" distB="0" distL="0" distR="0" wp14:anchorId="2E844B9B" wp14:editId="2455427A">
                <wp:extent cx="581025" cy="853082"/>
                <wp:effectExtent l="0" t="0" r="0" b="4445"/>
                <wp:docPr id="1850261739" name="Picture 1" descr="A blue green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ue green and white logo&#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0598" cy="867138"/>
                        </a:xfrm>
                        <a:prstGeom prst="rect">
                          <a:avLst/>
                        </a:prstGeom>
                        <a:noFill/>
                        <a:ln>
                          <a:noFill/>
                        </a:ln>
                      </pic:spPr>
                    </pic:pic>
                  </a:graphicData>
                </a:graphic>
              </wp:inline>
            </w:drawing>
          </w:r>
          <w:r w:rsidR="00184160" w:rsidRPr="0061745A">
            <w:fldChar w:fldCharType="begin"/>
          </w:r>
          <w:r w:rsidR="00184160" w:rsidRPr="0061745A">
            <w:instrText xml:space="preserve"> DOCPROPERTY  ProtectiveMarking \* MERGEFORMAT </w:instrText>
          </w:r>
          <w:r w:rsidR="00184160" w:rsidRPr="0061745A">
            <w:fldChar w:fldCharType="end"/>
          </w:r>
          <w:r w:rsidR="00184160" w:rsidRPr="0061745A">
            <w:fldChar w:fldCharType="begin"/>
          </w:r>
          <w:r w:rsidR="00184160" w:rsidRPr="0061745A">
            <w:instrText xml:space="preserve"> IF </w:instrText>
          </w:r>
          <w:r w:rsidR="00184160" w:rsidRPr="0061745A">
            <w:fldChar w:fldCharType="begin"/>
          </w:r>
          <w:r w:rsidR="00184160" w:rsidRPr="0061745A">
            <w:instrText xml:space="preserve"> DOCPROPERTY  ProtectiveMarking </w:instrText>
          </w:r>
          <w:r w:rsidR="00184160" w:rsidRPr="0061745A">
            <w:fldChar w:fldCharType="end"/>
          </w:r>
          <w:r w:rsidR="00184160" w:rsidRPr="0061745A">
            <w:instrText xml:space="preserve"> = "" "" "</w:instrText>
          </w:r>
        </w:p>
        <w:p w14:paraId="49A237E7" w14:textId="032AE4A5" w:rsidR="00184160" w:rsidRPr="0061745A" w:rsidRDefault="00184160" w:rsidP="00566185">
          <w:pPr>
            <w:pStyle w:val="Header"/>
            <w:jc w:val="center"/>
          </w:pPr>
          <w:r w:rsidRPr="0061745A">
            <w:instrText xml:space="preserve">" </w:instrText>
          </w:r>
          <w:r w:rsidRPr="0061745A">
            <w:fldChar w:fldCharType="end"/>
          </w:r>
          <w:fldSimple w:instr="DOCPROPERTY  Draft \* MERGEFORMAT">
            <w:r w:rsidR="00D377B6">
              <w:t xml:space="preserve"> </w:t>
            </w:r>
          </w:fldSimple>
        </w:p>
      </w:tc>
      <w:tc>
        <w:tcPr>
          <w:tcW w:w="3611" w:type="dxa"/>
        </w:tcPr>
        <w:p w14:paraId="6F477CF2" w14:textId="2F7724CA" w:rsidR="00184160" w:rsidRPr="0061745A" w:rsidRDefault="00D377B6" w:rsidP="00D377B6">
          <w:pPr>
            <w:pStyle w:val="Header"/>
            <w:jc w:val="right"/>
          </w:pPr>
          <w:fldSimple w:instr="DOCPROPERTY  HeaderClient \* MERGEFORMAT">
            <w:r>
              <w:t xml:space="preserve"> </w:t>
            </w:r>
          </w:fldSimple>
          <w:r w:rsidR="00184160" w:rsidRPr="0061745A">
            <w:fldChar w:fldCharType="begin"/>
          </w:r>
          <w:r w:rsidR="00184160" w:rsidRPr="0061745A">
            <w:instrText xml:space="preserve"> IF </w:instrText>
          </w:r>
          <w:r w:rsidR="00184160" w:rsidRPr="0061745A">
            <w:fldChar w:fldCharType="begin"/>
          </w:r>
          <w:r w:rsidR="00184160" w:rsidRPr="0061745A">
            <w:instrText xml:space="preserve"> DOCPROPERTY  HeaderClient </w:instrText>
          </w:r>
          <w:r w:rsidR="00184160" w:rsidRPr="0061745A">
            <w:fldChar w:fldCharType="separate"/>
          </w:r>
          <w:r>
            <w:instrText xml:space="preserve"> </w:instrText>
          </w:r>
          <w:r w:rsidR="00184160" w:rsidRPr="0061745A">
            <w:fldChar w:fldCharType="end"/>
          </w:r>
          <w:r w:rsidR="00184160" w:rsidRPr="0061745A">
            <w:instrText xml:space="preserve"> = "" "" "</w:instrText>
          </w:r>
        </w:p>
        <w:p w14:paraId="45ED99B0" w14:textId="77777777" w:rsidR="0069617A" w:rsidRPr="0061745A" w:rsidRDefault="00184160" w:rsidP="00D377B6">
          <w:pPr>
            <w:pStyle w:val="Header"/>
            <w:jc w:val="right"/>
          </w:pPr>
          <w:r w:rsidRPr="0061745A">
            <w:instrText xml:space="preserve">" </w:instrText>
          </w:r>
          <w:r w:rsidRPr="0061745A">
            <w:fldChar w:fldCharType="separate"/>
          </w:r>
        </w:p>
        <w:p w14:paraId="72CD2279" w14:textId="7A80F255" w:rsidR="00184160" w:rsidRPr="0061745A" w:rsidRDefault="00184160" w:rsidP="00D377B6">
          <w:pPr>
            <w:pStyle w:val="Header"/>
            <w:jc w:val="right"/>
          </w:pPr>
          <w:r w:rsidRPr="0061745A">
            <w:fldChar w:fldCharType="end"/>
          </w:r>
          <w:r w:rsidR="00D377B6">
            <w:drawing>
              <wp:inline distT="0" distB="0" distL="0" distR="0" wp14:anchorId="60DE0F0D" wp14:editId="41F43DFD">
                <wp:extent cx="1447624" cy="659677"/>
                <wp:effectExtent l="0" t="0" r="635" b="7620"/>
                <wp:docPr id="3" name="Picture 3" descr="C:\Users\0100397s\OneDrive - National University of Ireland, Galway\2021 Reinstatement Cost Consultancy Services\UL_Master_Logo_RBG.jpg,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3">
                          <a:extLst>
                            <a:ext uri="{28A0092B-C50C-407E-A947-70E740481C1C}">
                              <a14:useLocalDpi xmlns:a14="http://schemas.microsoft.com/office/drawing/2010/main" val="0"/>
                            </a:ext>
                          </a:extLst>
                        </a:blip>
                        <a:stretch>
                          <a:fillRect/>
                        </a:stretch>
                      </pic:blipFill>
                      <pic:spPr>
                        <a:xfrm>
                          <a:off x="0" y="0"/>
                          <a:ext cx="1447624" cy="659677"/>
                        </a:xfrm>
                        <a:prstGeom prst="rect">
                          <a:avLst/>
                        </a:prstGeom>
                      </pic:spPr>
                    </pic:pic>
                  </a:graphicData>
                </a:graphic>
              </wp:inline>
            </w:drawing>
          </w:r>
          <w:fldSimple w:instr="DOCPROPERTY  ProjectRef \* MERGEFORMAT">
            <w:r w:rsidR="00D377B6">
              <w:t xml:space="preserve"> </w:t>
            </w:r>
          </w:fldSimple>
          <w:r w:rsidRPr="0061745A">
            <w:fldChar w:fldCharType="begin"/>
          </w:r>
          <w:r w:rsidRPr="0061745A">
            <w:instrText xml:space="preserve"> IF </w:instrText>
          </w:r>
          <w:r w:rsidRPr="0061745A">
            <w:fldChar w:fldCharType="begin"/>
          </w:r>
          <w:r w:rsidRPr="0061745A">
            <w:instrText xml:space="preserve"> DOCPROPERTY  ProjectRef </w:instrText>
          </w:r>
          <w:r w:rsidRPr="0061745A">
            <w:fldChar w:fldCharType="separate"/>
          </w:r>
          <w:r w:rsidR="00D377B6">
            <w:instrText xml:space="preserve"> </w:instrText>
          </w:r>
          <w:r w:rsidRPr="0061745A">
            <w:fldChar w:fldCharType="end"/>
          </w:r>
          <w:r w:rsidRPr="0061745A">
            <w:instrText xml:space="preserve"> = " " "" "</w:instrText>
          </w:r>
        </w:p>
        <w:p w14:paraId="42B064B5" w14:textId="1280A713" w:rsidR="00184160" w:rsidRPr="0061745A" w:rsidRDefault="00184160" w:rsidP="00D377B6">
          <w:pPr>
            <w:pStyle w:val="Header"/>
            <w:jc w:val="right"/>
          </w:pPr>
          <w:r w:rsidRPr="0061745A">
            <w:instrText xml:space="preserve">" </w:instrText>
          </w:r>
          <w:r w:rsidRPr="0061745A">
            <w:fldChar w:fldCharType="end"/>
          </w:r>
          <w:fldSimple w:instr="DOCPROPERTY  ProjectNumber \* MERGEFORMAT">
            <w:r w:rsidR="00D377B6">
              <w:t xml:space="preserve"> </w:t>
            </w:r>
          </w:fldSimple>
        </w:p>
      </w:tc>
    </w:tr>
  </w:tbl>
  <w:p w14:paraId="19959608" w14:textId="4359B97C" w:rsidR="00184160" w:rsidRPr="0061745A" w:rsidRDefault="001841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B7A69D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6EAF11E"/>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181A1024"/>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DADEFE72"/>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07B0195E"/>
    <w:multiLevelType w:val="hybridMultilevel"/>
    <w:tmpl w:val="B3B82B46"/>
    <w:lvl w:ilvl="0" w:tplc="18090001">
      <w:start w:val="1"/>
      <w:numFmt w:val="bullet"/>
      <w:lvlText w:val=""/>
      <w:lvlJc w:val="left"/>
      <w:pPr>
        <w:ind w:left="820" w:hanging="360"/>
      </w:pPr>
      <w:rPr>
        <w:rFonts w:ascii="Symbol" w:hAnsi="Symbol" w:hint="default"/>
      </w:rPr>
    </w:lvl>
    <w:lvl w:ilvl="1" w:tplc="18090003" w:tentative="1">
      <w:start w:val="1"/>
      <w:numFmt w:val="bullet"/>
      <w:lvlText w:val="o"/>
      <w:lvlJc w:val="left"/>
      <w:pPr>
        <w:ind w:left="1540" w:hanging="360"/>
      </w:pPr>
      <w:rPr>
        <w:rFonts w:ascii="Courier New" w:hAnsi="Courier New" w:cs="Courier New" w:hint="default"/>
      </w:rPr>
    </w:lvl>
    <w:lvl w:ilvl="2" w:tplc="18090005" w:tentative="1">
      <w:start w:val="1"/>
      <w:numFmt w:val="bullet"/>
      <w:lvlText w:val=""/>
      <w:lvlJc w:val="left"/>
      <w:pPr>
        <w:ind w:left="2260" w:hanging="360"/>
      </w:pPr>
      <w:rPr>
        <w:rFonts w:ascii="Wingdings" w:hAnsi="Wingdings" w:hint="default"/>
      </w:rPr>
    </w:lvl>
    <w:lvl w:ilvl="3" w:tplc="18090001" w:tentative="1">
      <w:start w:val="1"/>
      <w:numFmt w:val="bullet"/>
      <w:lvlText w:val=""/>
      <w:lvlJc w:val="left"/>
      <w:pPr>
        <w:ind w:left="2980" w:hanging="360"/>
      </w:pPr>
      <w:rPr>
        <w:rFonts w:ascii="Symbol" w:hAnsi="Symbol" w:hint="default"/>
      </w:rPr>
    </w:lvl>
    <w:lvl w:ilvl="4" w:tplc="18090003" w:tentative="1">
      <w:start w:val="1"/>
      <w:numFmt w:val="bullet"/>
      <w:lvlText w:val="o"/>
      <w:lvlJc w:val="left"/>
      <w:pPr>
        <w:ind w:left="3700" w:hanging="360"/>
      </w:pPr>
      <w:rPr>
        <w:rFonts w:ascii="Courier New" w:hAnsi="Courier New" w:cs="Courier New" w:hint="default"/>
      </w:rPr>
    </w:lvl>
    <w:lvl w:ilvl="5" w:tplc="18090005" w:tentative="1">
      <w:start w:val="1"/>
      <w:numFmt w:val="bullet"/>
      <w:lvlText w:val=""/>
      <w:lvlJc w:val="left"/>
      <w:pPr>
        <w:ind w:left="4420" w:hanging="360"/>
      </w:pPr>
      <w:rPr>
        <w:rFonts w:ascii="Wingdings" w:hAnsi="Wingdings" w:hint="default"/>
      </w:rPr>
    </w:lvl>
    <w:lvl w:ilvl="6" w:tplc="18090001" w:tentative="1">
      <w:start w:val="1"/>
      <w:numFmt w:val="bullet"/>
      <w:lvlText w:val=""/>
      <w:lvlJc w:val="left"/>
      <w:pPr>
        <w:ind w:left="5140" w:hanging="360"/>
      </w:pPr>
      <w:rPr>
        <w:rFonts w:ascii="Symbol" w:hAnsi="Symbol" w:hint="default"/>
      </w:rPr>
    </w:lvl>
    <w:lvl w:ilvl="7" w:tplc="18090003" w:tentative="1">
      <w:start w:val="1"/>
      <w:numFmt w:val="bullet"/>
      <w:lvlText w:val="o"/>
      <w:lvlJc w:val="left"/>
      <w:pPr>
        <w:ind w:left="5860" w:hanging="360"/>
      </w:pPr>
      <w:rPr>
        <w:rFonts w:ascii="Courier New" w:hAnsi="Courier New" w:cs="Courier New" w:hint="default"/>
      </w:rPr>
    </w:lvl>
    <w:lvl w:ilvl="8" w:tplc="18090005" w:tentative="1">
      <w:start w:val="1"/>
      <w:numFmt w:val="bullet"/>
      <w:lvlText w:val=""/>
      <w:lvlJc w:val="left"/>
      <w:pPr>
        <w:ind w:left="6580" w:hanging="360"/>
      </w:pPr>
      <w:rPr>
        <w:rFonts w:ascii="Wingdings" w:hAnsi="Wingdings" w:hint="default"/>
      </w:rPr>
    </w:lvl>
  </w:abstractNum>
  <w:abstractNum w:abstractNumId="5" w15:restartNumberingAfterBreak="0">
    <w:nsid w:val="08AB481A"/>
    <w:multiLevelType w:val="multilevel"/>
    <w:tmpl w:val="22544628"/>
    <w:styleLink w:val="AECOMNumbering"/>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6" w15:restartNumberingAfterBreak="0">
    <w:nsid w:val="0E406F3E"/>
    <w:multiLevelType w:val="multilevel"/>
    <w:tmpl w:val="1F30E436"/>
    <w:styleLink w:val="AECOMSectionnumbering"/>
    <w:lvl w:ilvl="0">
      <w:start w:val="1"/>
      <w:numFmt w:val="decimalZero"/>
      <w:lvlText w:val="%1"/>
      <w:lvlJc w:val="left"/>
      <w:pPr>
        <w:ind w:left="1134"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E59E2D2"/>
    <w:multiLevelType w:val="hybridMultilevel"/>
    <w:tmpl w:val="CAD021F2"/>
    <w:lvl w:ilvl="0" w:tplc="858E0640">
      <w:start w:val="1"/>
      <w:numFmt w:val="bullet"/>
      <w:lvlText w:val=""/>
      <w:lvlJc w:val="left"/>
      <w:pPr>
        <w:ind w:left="720" w:hanging="360"/>
      </w:pPr>
      <w:rPr>
        <w:rFonts w:ascii="Symbol" w:hAnsi="Symbol" w:hint="default"/>
      </w:rPr>
    </w:lvl>
    <w:lvl w:ilvl="1" w:tplc="2E085440">
      <w:start w:val="1"/>
      <w:numFmt w:val="bullet"/>
      <w:lvlText w:val="o"/>
      <w:lvlJc w:val="left"/>
      <w:pPr>
        <w:ind w:left="1440" w:hanging="360"/>
      </w:pPr>
      <w:rPr>
        <w:rFonts w:ascii="Courier New" w:hAnsi="Courier New" w:hint="default"/>
      </w:rPr>
    </w:lvl>
    <w:lvl w:ilvl="2" w:tplc="9EB65976">
      <w:start w:val="1"/>
      <w:numFmt w:val="bullet"/>
      <w:lvlText w:val=""/>
      <w:lvlJc w:val="left"/>
      <w:pPr>
        <w:ind w:left="2160" w:hanging="360"/>
      </w:pPr>
      <w:rPr>
        <w:rFonts w:ascii="Wingdings" w:hAnsi="Wingdings" w:hint="default"/>
      </w:rPr>
    </w:lvl>
    <w:lvl w:ilvl="3" w:tplc="69E60F80">
      <w:start w:val="1"/>
      <w:numFmt w:val="bullet"/>
      <w:lvlText w:val=""/>
      <w:lvlJc w:val="left"/>
      <w:pPr>
        <w:ind w:left="2880" w:hanging="360"/>
      </w:pPr>
      <w:rPr>
        <w:rFonts w:ascii="Symbol" w:hAnsi="Symbol" w:hint="default"/>
      </w:rPr>
    </w:lvl>
    <w:lvl w:ilvl="4" w:tplc="FEF0EA4C">
      <w:start w:val="1"/>
      <w:numFmt w:val="bullet"/>
      <w:lvlText w:val="o"/>
      <w:lvlJc w:val="left"/>
      <w:pPr>
        <w:ind w:left="3600" w:hanging="360"/>
      </w:pPr>
      <w:rPr>
        <w:rFonts w:ascii="Courier New" w:hAnsi="Courier New" w:hint="default"/>
      </w:rPr>
    </w:lvl>
    <w:lvl w:ilvl="5" w:tplc="12907918">
      <w:start w:val="1"/>
      <w:numFmt w:val="bullet"/>
      <w:lvlText w:val=""/>
      <w:lvlJc w:val="left"/>
      <w:pPr>
        <w:ind w:left="4320" w:hanging="360"/>
      </w:pPr>
      <w:rPr>
        <w:rFonts w:ascii="Wingdings" w:hAnsi="Wingdings" w:hint="default"/>
      </w:rPr>
    </w:lvl>
    <w:lvl w:ilvl="6" w:tplc="FB2455D2">
      <w:start w:val="1"/>
      <w:numFmt w:val="bullet"/>
      <w:lvlText w:val=""/>
      <w:lvlJc w:val="left"/>
      <w:pPr>
        <w:ind w:left="5040" w:hanging="360"/>
      </w:pPr>
      <w:rPr>
        <w:rFonts w:ascii="Symbol" w:hAnsi="Symbol" w:hint="default"/>
      </w:rPr>
    </w:lvl>
    <w:lvl w:ilvl="7" w:tplc="F4EE0246">
      <w:start w:val="1"/>
      <w:numFmt w:val="bullet"/>
      <w:lvlText w:val="o"/>
      <w:lvlJc w:val="left"/>
      <w:pPr>
        <w:ind w:left="5760" w:hanging="360"/>
      </w:pPr>
      <w:rPr>
        <w:rFonts w:ascii="Courier New" w:hAnsi="Courier New" w:hint="default"/>
      </w:rPr>
    </w:lvl>
    <w:lvl w:ilvl="8" w:tplc="82882020">
      <w:start w:val="1"/>
      <w:numFmt w:val="bullet"/>
      <w:lvlText w:val=""/>
      <w:lvlJc w:val="left"/>
      <w:pPr>
        <w:ind w:left="6480" w:hanging="360"/>
      </w:pPr>
      <w:rPr>
        <w:rFonts w:ascii="Wingdings" w:hAnsi="Wingdings" w:hint="default"/>
      </w:rPr>
    </w:lvl>
  </w:abstractNum>
  <w:abstractNum w:abstractNumId="8" w15:restartNumberingAfterBreak="0">
    <w:nsid w:val="134315FC"/>
    <w:multiLevelType w:val="hybridMultilevel"/>
    <w:tmpl w:val="217C0EE0"/>
    <w:lvl w:ilvl="0" w:tplc="04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92A26E9"/>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 w15:restartNumberingAfterBreak="0">
    <w:nsid w:val="1A8B00A2"/>
    <w:multiLevelType w:val="multilevel"/>
    <w:tmpl w:val="DB3C37A8"/>
    <w:name w:val="AECOM Outline numbering"/>
    <w:styleLink w:val="AECOMAppendix"/>
    <w:lvl w:ilvl="0">
      <w:start w:val="1"/>
      <w:numFmt w:val="upperLetter"/>
      <w:suff w:val="nothing"/>
      <w:lvlText w:val="Appendix %1  "/>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CFD3F58"/>
    <w:multiLevelType w:val="multilevel"/>
    <w:tmpl w:val="6534D50E"/>
    <w:lvl w:ilvl="0">
      <w:start w:val="1"/>
      <w:numFmt w:val="decimal"/>
      <w:pStyle w:val="Heading1"/>
      <w:lvlText w:val="%1."/>
      <w:lvlJc w:val="left"/>
      <w:pPr>
        <w:ind w:left="720" w:hanging="360"/>
      </w:pPr>
      <w:rPr>
        <w:rFonts w:hint="default"/>
      </w:rPr>
    </w:lvl>
    <w:lvl w:ilvl="1">
      <w:start w:val="1"/>
      <w:numFmt w:val="decimalZero"/>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28325AB"/>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4994664"/>
    <w:multiLevelType w:val="hybridMultilevel"/>
    <w:tmpl w:val="6A603D44"/>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A0118C5"/>
    <w:multiLevelType w:val="multilevel"/>
    <w:tmpl w:val="DC22BBC8"/>
    <w:styleLink w:val="AECOMTable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Calibri" w:hAnsi="Calibri" w:hint="default"/>
        <w:color w:val="auto"/>
      </w:rPr>
    </w:lvl>
    <w:lvl w:ilvl="2">
      <w:start w:val="1"/>
      <w:numFmt w:val="bullet"/>
      <w:lvlText w:val="o"/>
      <w:lvlJc w:val="left"/>
      <w:pPr>
        <w:ind w:left="852" w:hanging="284"/>
      </w:pPr>
      <w:rPr>
        <w:rFonts w:ascii="Courier New" w:hAnsi="Courier New" w:hint="default"/>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o"/>
      <w:lvlJc w:val="left"/>
      <w:pPr>
        <w:ind w:left="1704" w:hanging="284"/>
      </w:pPr>
      <w:rPr>
        <w:rFonts w:ascii="Courier New" w:hAnsi="Courier New" w:hint="default"/>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Calibri" w:hAnsi="Calibri" w:hint="default"/>
        <w:color w:val="auto"/>
      </w:rPr>
    </w:lvl>
    <w:lvl w:ilvl="8">
      <w:start w:val="1"/>
      <w:numFmt w:val="bullet"/>
      <w:lvlText w:val="o"/>
      <w:lvlJc w:val="left"/>
      <w:pPr>
        <w:ind w:left="2556" w:hanging="284"/>
      </w:pPr>
      <w:rPr>
        <w:rFonts w:ascii="Courier New" w:hAnsi="Courier New" w:hint="default"/>
      </w:rPr>
    </w:lvl>
  </w:abstractNum>
  <w:abstractNum w:abstractNumId="15" w15:restartNumberingAfterBreak="0">
    <w:nsid w:val="2C06209F"/>
    <w:multiLevelType w:val="hybridMultilevel"/>
    <w:tmpl w:val="95183C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754570F"/>
    <w:multiLevelType w:val="multilevel"/>
    <w:tmpl w:val="85A81756"/>
    <w:name w:val="AECOM Outline numbering3"/>
    <w:lvl w:ilvl="0">
      <w:start w:val="1"/>
      <w:numFmt w:val="upperLetter"/>
      <w:lvlRestart w:val="0"/>
      <w:pStyle w:val="Appendix"/>
      <w:suff w:val="space"/>
      <w:lvlText w:val="Appendix %1"/>
      <w:lvlJc w:val="left"/>
      <w:pPr>
        <w:ind w:left="0" w:firstLine="0"/>
      </w:pPr>
      <w:rPr>
        <w:rFonts w:hint="default"/>
      </w:rPr>
    </w:lvl>
    <w:lvl w:ilvl="1">
      <w:start w:val="1"/>
      <w:numFmt w:val="decimal"/>
      <w:pStyle w:val="Appendixheading2"/>
      <w:lvlText w:val="%1.%2"/>
      <w:lvlJc w:val="left"/>
      <w:pPr>
        <w:ind w:left="357" w:hanging="357"/>
      </w:pPr>
      <w:rPr>
        <w:rFonts w:hint="default"/>
      </w:rPr>
    </w:lvl>
    <w:lvl w:ilvl="2">
      <w:start w:val="1"/>
      <w:numFmt w:val="decimal"/>
      <w:lvlText w:val="%1.%2.%3"/>
      <w:lvlJc w:val="left"/>
      <w:pPr>
        <w:ind w:left="850" w:hanging="850"/>
      </w:pPr>
      <w:rPr>
        <w:rFonts w:hint="default"/>
      </w:rPr>
    </w:lvl>
    <w:lvl w:ilvl="3">
      <w:start w:val="1"/>
      <w:numFmt w:val="decimal"/>
      <w:lvlText w:val="%1.%2.%3.%4"/>
      <w:lvlJc w:val="left"/>
      <w:pPr>
        <w:ind w:left="850" w:hanging="850"/>
      </w:pPr>
      <w:rPr>
        <w:rFonts w:hint="default"/>
      </w:rPr>
    </w:lvl>
    <w:lvl w:ilvl="4">
      <w:start w:val="1"/>
      <w:numFmt w:val="decimal"/>
      <w:lvlText w:val="%1.%2.%3.%4.%5"/>
      <w:lvlJc w:val="left"/>
      <w:pPr>
        <w:ind w:left="850" w:hanging="850"/>
      </w:pPr>
      <w:rPr>
        <w:rFonts w:hint="default"/>
      </w:rPr>
    </w:lvl>
    <w:lvl w:ilvl="5">
      <w:start w:val="1"/>
      <w:numFmt w:val="decimal"/>
      <w:lvlText w:val="%1.%2.%3.%4.%5.%6"/>
      <w:lvlJc w:val="left"/>
      <w:pPr>
        <w:ind w:left="850" w:hanging="850"/>
      </w:pPr>
      <w:rPr>
        <w:rFonts w:hint="default"/>
      </w:rPr>
    </w:lvl>
    <w:lvl w:ilvl="6">
      <w:start w:val="1"/>
      <w:numFmt w:val="none"/>
      <w:lvlText w:val=""/>
      <w:lvlJc w:val="left"/>
      <w:pPr>
        <w:ind w:left="850" w:hanging="850"/>
      </w:pPr>
      <w:rPr>
        <w:rFonts w:hint="default"/>
      </w:rPr>
    </w:lvl>
    <w:lvl w:ilvl="7">
      <w:start w:val="1"/>
      <w:numFmt w:val="lowerLetter"/>
      <w:lvlText w:val="%8."/>
      <w:lvlJc w:val="left"/>
      <w:pPr>
        <w:ind w:left="850" w:hanging="850"/>
      </w:pPr>
      <w:rPr>
        <w:rFonts w:hint="default"/>
      </w:rPr>
    </w:lvl>
    <w:lvl w:ilvl="8">
      <w:start w:val="1"/>
      <w:numFmt w:val="lowerRoman"/>
      <w:lvlText w:val="%9."/>
      <w:lvlJc w:val="left"/>
      <w:pPr>
        <w:ind w:left="850" w:hanging="850"/>
      </w:pPr>
      <w:rPr>
        <w:rFonts w:hint="default"/>
      </w:rPr>
    </w:lvl>
  </w:abstractNum>
  <w:abstractNum w:abstractNumId="17" w15:restartNumberingAfterBreak="0">
    <w:nsid w:val="3A383484"/>
    <w:multiLevelType w:val="multilevel"/>
    <w:tmpl w:val="60B68AA8"/>
    <w:styleLink w:val="AECOMTableNumbering"/>
    <w:lvl w:ilvl="0">
      <w:start w:val="1"/>
      <w:numFmt w:val="decimal"/>
      <w:pStyle w:val="TableListNumber"/>
      <w:lvlText w:val="%1."/>
      <w:lvlJc w:val="left"/>
      <w:pPr>
        <w:ind w:left="284" w:hanging="284"/>
      </w:pPr>
      <w:rPr>
        <w:rFonts w:hint="default"/>
      </w:rPr>
    </w:lvl>
    <w:lvl w:ilvl="1">
      <w:start w:val="1"/>
      <w:numFmt w:val="lowerLetter"/>
      <w:pStyle w:val="TableListNumber2"/>
      <w:lvlText w:val="%2."/>
      <w:lvlJc w:val="left"/>
      <w:pPr>
        <w:ind w:left="568" w:hanging="284"/>
      </w:pPr>
      <w:rPr>
        <w:rFonts w:hint="default"/>
      </w:rPr>
    </w:lvl>
    <w:lvl w:ilvl="2">
      <w:start w:val="1"/>
      <w:numFmt w:val="lowerRoman"/>
      <w:pStyle w:val="TableListNumber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8" w15:restartNumberingAfterBreak="0">
    <w:nsid w:val="3B654793"/>
    <w:multiLevelType w:val="hybridMultilevel"/>
    <w:tmpl w:val="48AA309C"/>
    <w:lvl w:ilvl="0" w:tplc="04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E4A00D4"/>
    <w:multiLevelType w:val="hybridMultilevel"/>
    <w:tmpl w:val="BE066B8E"/>
    <w:lvl w:ilvl="0" w:tplc="AC0AA252">
      <w:start w:val="1"/>
      <w:numFmt w:val="bullet"/>
      <w:lvlText w:val=""/>
      <w:lvlJc w:val="left"/>
      <w:pPr>
        <w:ind w:left="720" w:hanging="360"/>
      </w:pPr>
      <w:rPr>
        <w:rFonts w:ascii="Symbol" w:hAnsi="Symbol" w:hint="default"/>
      </w:rPr>
    </w:lvl>
    <w:lvl w:ilvl="1" w:tplc="CE8C60B8">
      <w:start w:val="1"/>
      <w:numFmt w:val="bullet"/>
      <w:lvlText w:val="o"/>
      <w:lvlJc w:val="left"/>
      <w:pPr>
        <w:ind w:left="1440" w:hanging="360"/>
      </w:pPr>
      <w:rPr>
        <w:rFonts w:ascii="Courier New" w:hAnsi="Courier New" w:hint="default"/>
      </w:rPr>
    </w:lvl>
    <w:lvl w:ilvl="2" w:tplc="01AC9F24">
      <w:start w:val="1"/>
      <w:numFmt w:val="bullet"/>
      <w:lvlText w:val=""/>
      <w:lvlJc w:val="left"/>
      <w:pPr>
        <w:ind w:left="2160" w:hanging="360"/>
      </w:pPr>
      <w:rPr>
        <w:rFonts w:ascii="Wingdings" w:hAnsi="Wingdings" w:hint="default"/>
      </w:rPr>
    </w:lvl>
    <w:lvl w:ilvl="3" w:tplc="9B1E3A24">
      <w:start w:val="1"/>
      <w:numFmt w:val="bullet"/>
      <w:lvlText w:val=""/>
      <w:lvlJc w:val="left"/>
      <w:pPr>
        <w:ind w:left="2880" w:hanging="360"/>
      </w:pPr>
      <w:rPr>
        <w:rFonts w:ascii="Symbol" w:hAnsi="Symbol" w:hint="default"/>
      </w:rPr>
    </w:lvl>
    <w:lvl w:ilvl="4" w:tplc="C448ACBE">
      <w:start w:val="1"/>
      <w:numFmt w:val="bullet"/>
      <w:lvlText w:val="o"/>
      <w:lvlJc w:val="left"/>
      <w:pPr>
        <w:ind w:left="3600" w:hanging="360"/>
      </w:pPr>
      <w:rPr>
        <w:rFonts w:ascii="Courier New" w:hAnsi="Courier New" w:hint="default"/>
      </w:rPr>
    </w:lvl>
    <w:lvl w:ilvl="5" w:tplc="6EF6629C">
      <w:start w:val="1"/>
      <w:numFmt w:val="bullet"/>
      <w:lvlText w:val=""/>
      <w:lvlJc w:val="left"/>
      <w:pPr>
        <w:ind w:left="4320" w:hanging="360"/>
      </w:pPr>
      <w:rPr>
        <w:rFonts w:ascii="Wingdings" w:hAnsi="Wingdings" w:hint="default"/>
      </w:rPr>
    </w:lvl>
    <w:lvl w:ilvl="6" w:tplc="93C0A842">
      <w:start w:val="1"/>
      <w:numFmt w:val="bullet"/>
      <w:lvlText w:val=""/>
      <w:lvlJc w:val="left"/>
      <w:pPr>
        <w:ind w:left="5040" w:hanging="360"/>
      </w:pPr>
      <w:rPr>
        <w:rFonts w:ascii="Symbol" w:hAnsi="Symbol" w:hint="default"/>
      </w:rPr>
    </w:lvl>
    <w:lvl w:ilvl="7" w:tplc="553C4284">
      <w:start w:val="1"/>
      <w:numFmt w:val="bullet"/>
      <w:lvlText w:val="o"/>
      <w:lvlJc w:val="left"/>
      <w:pPr>
        <w:ind w:left="5760" w:hanging="360"/>
      </w:pPr>
      <w:rPr>
        <w:rFonts w:ascii="Courier New" w:hAnsi="Courier New" w:hint="default"/>
      </w:rPr>
    </w:lvl>
    <w:lvl w:ilvl="8" w:tplc="3312AED2">
      <w:start w:val="1"/>
      <w:numFmt w:val="bullet"/>
      <w:lvlText w:val=""/>
      <w:lvlJc w:val="left"/>
      <w:pPr>
        <w:ind w:left="6480" w:hanging="360"/>
      </w:pPr>
      <w:rPr>
        <w:rFonts w:ascii="Wingdings" w:hAnsi="Wingdings" w:hint="default"/>
      </w:rPr>
    </w:lvl>
  </w:abstractNum>
  <w:abstractNum w:abstractNumId="20" w15:restartNumberingAfterBreak="0">
    <w:nsid w:val="3E8A6965"/>
    <w:multiLevelType w:val="hybridMultilevel"/>
    <w:tmpl w:val="4790BDA2"/>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45357D0"/>
    <w:multiLevelType w:val="hybridMultilevel"/>
    <w:tmpl w:val="0284EB5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644573A"/>
    <w:multiLevelType w:val="multilevel"/>
    <w:tmpl w:val="3F9A613A"/>
    <w:styleLink w:val="AECOMBullets"/>
    <w:lvl w:ilvl="0">
      <w:start w:val="1"/>
      <w:numFmt w:val="bullet"/>
      <w:lvlText w:val=""/>
      <w:lvlJc w:val="left"/>
      <w:pPr>
        <w:ind w:left="284" w:hanging="284"/>
      </w:pPr>
      <w:rPr>
        <w:rFonts w:ascii="Symbol" w:hAnsi="Symbol" w:hint="default"/>
        <w:color w:val="auto"/>
      </w:rPr>
    </w:lvl>
    <w:lvl w:ilvl="1">
      <w:start w:val="1"/>
      <w:numFmt w:val="bullet"/>
      <w:lvlText w:val="o"/>
      <w:lvlJc w:val="left"/>
      <w:pPr>
        <w:ind w:left="568" w:hanging="284"/>
      </w:pPr>
      <w:rPr>
        <w:rFonts w:ascii="Courier New" w:hAnsi="Courier New" w:hint="default"/>
        <w:color w:val="auto"/>
      </w:rPr>
    </w:lvl>
    <w:lvl w:ilvl="2">
      <w:start w:val="1"/>
      <w:numFmt w:val="bullet"/>
      <w:lvlText w:val="─"/>
      <w:lvlJc w:val="left"/>
      <w:pPr>
        <w:ind w:left="852" w:hanging="284"/>
      </w:pPr>
      <w:rPr>
        <w:rFonts w:ascii="Calibri" w:hAnsi="Calibri" w:hint="default"/>
        <w:color w:val="auto"/>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hint="default"/>
      </w:rPr>
    </w:lvl>
    <w:lvl w:ilvl="5">
      <w:start w:val="1"/>
      <w:numFmt w:val="bullet"/>
      <w:lvlText w:val=""/>
      <w:lvlJc w:val="left"/>
      <w:pPr>
        <w:tabs>
          <w:tab w:val="num" w:pos="2346"/>
        </w:tabs>
        <w:ind w:left="1704" w:hanging="284"/>
      </w:pPr>
      <w:rPr>
        <w:rFonts w:ascii="Wingdings" w:hAnsi="Wingdings" w:hint="default"/>
      </w:rPr>
    </w:lvl>
    <w:lvl w:ilvl="6">
      <w:start w:val="1"/>
      <w:numFmt w:val="bullet"/>
      <w:lvlText w:val=""/>
      <w:lvlJc w:val="left"/>
      <w:pPr>
        <w:tabs>
          <w:tab w:val="num" w:pos="2630"/>
        </w:tabs>
        <w:ind w:left="1988" w:hanging="284"/>
      </w:pPr>
      <w:rPr>
        <w:rFonts w:ascii="Symbol" w:hAnsi="Symbol" w:hint="default"/>
      </w:rPr>
    </w:lvl>
    <w:lvl w:ilvl="7">
      <w:start w:val="1"/>
      <w:numFmt w:val="bullet"/>
      <w:lvlText w:val="o"/>
      <w:lvlJc w:val="left"/>
      <w:pPr>
        <w:tabs>
          <w:tab w:val="num" w:pos="2914"/>
        </w:tabs>
        <w:ind w:left="2272" w:hanging="284"/>
      </w:pPr>
      <w:rPr>
        <w:rFonts w:ascii="Courier New" w:hAnsi="Courier New" w:cs="Courier New" w:hint="default"/>
      </w:rPr>
    </w:lvl>
    <w:lvl w:ilvl="8">
      <w:start w:val="1"/>
      <w:numFmt w:val="bullet"/>
      <w:lvlText w:val=""/>
      <w:lvlJc w:val="left"/>
      <w:pPr>
        <w:tabs>
          <w:tab w:val="num" w:pos="3198"/>
        </w:tabs>
        <w:ind w:left="2556" w:hanging="284"/>
      </w:pPr>
      <w:rPr>
        <w:rFonts w:ascii="Wingdings" w:hAnsi="Wingdings" w:hint="default"/>
      </w:rPr>
    </w:lvl>
  </w:abstractNum>
  <w:abstractNum w:abstractNumId="23" w15:restartNumberingAfterBreak="0">
    <w:nsid w:val="4D0C0132"/>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EF42FDB"/>
    <w:multiLevelType w:val="multilevel"/>
    <w:tmpl w:val="1906508C"/>
    <w:lvl w:ilvl="0">
      <w:start w:val="1"/>
      <w:numFmt w:val="decimal"/>
      <w:lvlText w:val="%1"/>
      <w:lvlJc w:val="left"/>
      <w:pPr>
        <w:ind w:left="465" w:hanging="465"/>
      </w:pPr>
      <w:rPr>
        <w:rFonts w:hint="default"/>
      </w:rPr>
    </w:lvl>
    <w:lvl w:ilvl="1">
      <w:start w:val="1"/>
      <w:numFmt w:val="decimalZero"/>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F926A09"/>
    <w:multiLevelType w:val="multilevel"/>
    <w:tmpl w:val="99F01D82"/>
    <w:lvl w:ilvl="0">
      <w:start w:val="1"/>
      <w:numFmt w:val="bullet"/>
      <w:pStyle w:val="TableListBullet"/>
      <w:lvlText w:val=""/>
      <w:lvlJc w:val="left"/>
      <w:pPr>
        <w:ind w:left="284" w:hanging="284"/>
      </w:pPr>
      <w:rPr>
        <w:rFonts w:ascii="Symbol" w:hAnsi="Symbol" w:hint="default"/>
        <w:color w:val="auto"/>
      </w:rPr>
    </w:lvl>
    <w:lvl w:ilvl="1">
      <w:start w:val="1"/>
      <w:numFmt w:val="bullet"/>
      <w:pStyle w:val="TableListBullet2"/>
      <w:lvlText w:val="─"/>
      <w:lvlJc w:val="left"/>
      <w:pPr>
        <w:ind w:left="568" w:hanging="284"/>
      </w:pPr>
      <w:rPr>
        <w:rFonts w:ascii="Calibri" w:hAnsi="Calibri" w:hint="default"/>
        <w:color w:val="auto"/>
      </w:rPr>
    </w:lvl>
    <w:lvl w:ilvl="2">
      <w:start w:val="1"/>
      <w:numFmt w:val="bullet"/>
      <w:pStyle w:val="TableListBullet3"/>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Calibri" w:hAnsi="Calibri" w:hint="default"/>
        <w:color w:val="auto"/>
      </w:rPr>
    </w:lvl>
    <w:lvl w:ilvl="8">
      <w:start w:val="1"/>
      <w:numFmt w:val="bullet"/>
      <w:lvlText w:val=""/>
      <w:lvlJc w:val="left"/>
      <w:pPr>
        <w:ind w:left="2556" w:hanging="284"/>
      </w:pPr>
      <w:rPr>
        <w:rFonts w:ascii="Wingdings" w:hAnsi="Wingdings" w:hint="default"/>
      </w:rPr>
    </w:lvl>
  </w:abstractNum>
  <w:abstractNum w:abstractNumId="26" w15:restartNumberingAfterBreak="0">
    <w:nsid w:val="51880F48"/>
    <w:multiLevelType w:val="multilevel"/>
    <w:tmpl w:val="5B6227C6"/>
    <w:styleLink w:val="AECOM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tabs>
          <w:tab w:val="num" w:pos="1431"/>
        </w:tabs>
        <w:ind w:left="1428" w:hanging="357"/>
      </w:pPr>
      <w:rPr>
        <w:rFonts w:hint="default"/>
      </w:rPr>
    </w:lvl>
    <w:lvl w:ilvl="4">
      <w:start w:val="1"/>
      <w:numFmt w:val="lowerLetter"/>
      <w:lvlText w:val="%5."/>
      <w:lvlJc w:val="left"/>
      <w:pPr>
        <w:tabs>
          <w:tab w:val="num" w:pos="1788"/>
        </w:tabs>
        <w:ind w:left="1785" w:hanging="357"/>
      </w:pPr>
      <w:rPr>
        <w:rFonts w:hint="default"/>
      </w:rPr>
    </w:lvl>
    <w:lvl w:ilvl="5">
      <w:start w:val="1"/>
      <w:numFmt w:val="lowerRoman"/>
      <w:lvlText w:val="%6."/>
      <w:lvlJc w:val="right"/>
      <w:pPr>
        <w:tabs>
          <w:tab w:val="num" w:pos="2145"/>
        </w:tabs>
        <w:ind w:left="2142" w:hanging="357"/>
      </w:pPr>
      <w:rPr>
        <w:rFonts w:hint="default"/>
      </w:rPr>
    </w:lvl>
    <w:lvl w:ilvl="6">
      <w:start w:val="1"/>
      <w:numFmt w:val="decimal"/>
      <w:lvlText w:val="%7."/>
      <w:lvlJc w:val="left"/>
      <w:pPr>
        <w:tabs>
          <w:tab w:val="num" w:pos="2502"/>
        </w:tabs>
        <w:ind w:left="2499" w:hanging="357"/>
      </w:pPr>
      <w:rPr>
        <w:rFonts w:hint="default"/>
      </w:rPr>
    </w:lvl>
    <w:lvl w:ilvl="7">
      <w:start w:val="1"/>
      <w:numFmt w:val="lowerLetter"/>
      <w:lvlText w:val="%8."/>
      <w:lvlJc w:val="left"/>
      <w:pPr>
        <w:tabs>
          <w:tab w:val="num" w:pos="2859"/>
        </w:tabs>
        <w:ind w:left="2856" w:hanging="357"/>
      </w:pPr>
      <w:rPr>
        <w:rFonts w:hint="default"/>
      </w:rPr>
    </w:lvl>
    <w:lvl w:ilvl="8">
      <w:start w:val="1"/>
      <w:numFmt w:val="lowerRoman"/>
      <w:lvlText w:val="%9."/>
      <w:lvlJc w:val="right"/>
      <w:pPr>
        <w:tabs>
          <w:tab w:val="num" w:pos="3216"/>
        </w:tabs>
        <w:ind w:left="3213" w:hanging="357"/>
      </w:pPr>
      <w:rPr>
        <w:rFonts w:hint="default"/>
      </w:rPr>
    </w:lvl>
  </w:abstractNum>
  <w:abstractNum w:abstractNumId="27" w15:restartNumberingAfterBreak="0">
    <w:nsid w:val="5571285C"/>
    <w:multiLevelType w:val="multilevel"/>
    <w:tmpl w:val="9D52E5A4"/>
    <w:name w:val="AECOM Outline numbering2"/>
    <w:lvl w:ilvl="0">
      <w:start w:val="1"/>
      <w:numFmt w:val="decimal"/>
      <w:lvlRestart w:val="0"/>
      <w:lvlText w:val="%1."/>
      <w:lvlJc w:val="left"/>
      <w:pPr>
        <w:ind w:left="850" w:hanging="850"/>
      </w:pPr>
      <w:rPr>
        <w:rFonts w:hint="default"/>
      </w:rPr>
    </w:lvl>
    <w:lvl w:ilvl="1">
      <w:numFmt w:val="decimal"/>
      <w:lvlText w:val="%1.%2"/>
      <w:lvlJc w:val="left"/>
      <w:pPr>
        <w:ind w:left="850" w:hanging="850"/>
      </w:pPr>
      <w:rPr>
        <w:rFonts w:hint="default"/>
      </w:rPr>
    </w:lvl>
    <w:lvl w:ilvl="2">
      <w:start w:val="1"/>
      <w:numFmt w:val="decimal"/>
      <w:pStyle w:val="Heading3"/>
      <w:lvlText w:val="%1.%2.%3"/>
      <w:lvlJc w:val="left"/>
      <w:pPr>
        <w:ind w:left="8789" w:hanging="850"/>
      </w:pPr>
      <w:rPr>
        <w:rFonts w:hint="default"/>
      </w:rPr>
    </w:lvl>
    <w:lvl w:ilvl="3">
      <w:start w:val="1"/>
      <w:numFmt w:val="decimal"/>
      <w:pStyle w:val="Heading4"/>
      <w:lvlText w:val="%1.%2.%3.%4"/>
      <w:lvlJc w:val="left"/>
      <w:pPr>
        <w:ind w:left="850" w:hanging="850"/>
      </w:pPr>
      <w:rPr>
        <w:rFonts w:hint="default"/>
      </w:rPr>
    </w:lvl>
    <w:lvl w:ilvl="4">
      <w:start w:val="1"/>
      <w:numFmt w:val="decimal"/>
      <w:pStyle w:val="Heading5"/>
      <w:lvlText w:val="%1.%2.%3.%4.%5"/>
      <w:lvlJc w:val="left"/>
      <w:pPr>
        <w:ind w:left="850" w:hanging="850"/>
      </w:pPr>
      <w:rPr>
        <w:rFonts w:hint="default"/>
      </w:rPr>
    </w:lvl>
    <w:lvl w:ilvl="5">
      <w:start w:val="1"/>
      <w:numFmt w:val="decimal"/>
      <w:pStyle w:val="Heading6"/>
      <w:lvlText w:val="%1.%2.%3.%4.%5.%6"/>
      <w:lvlJc w:val="left"/>
      <w:pPr>
        <w:ind w:left="850" w:hanging="850"/>
      </w:pPr>
      <w:rPr>
        <w:rFonts w:hint="default"/>
      </w:rPr>
    </w:lvl>
    <w:lvl w:ilvl="6">
      <w:start w:val="1"/>
      <w:numFmt w:val="none"/>
      <w:pStyle w:val="Heading7"/>
      <w:lvlText w:val=""/>
      <w:lvlJc w:val="left"/>
      <w:pPr>
        <w:ind w:left="850" w:hanging="850"/>
      </w:pPr>
      <w:rPr>
        <w:rFonts w:hint="default"/>
      </w:rPr>
    </w:lvl>
    <w:lvl w:ilvl="7">
      <w:start w:val="1"/>
      <w:numFmt w:val="lowerLetter"/>
      <w:pStyle w:val="Heading8"/>
      <w:lvlText w:val="%8."/>
      <w:lvlJc w:val="left"/>
      <w:pPr>
        <w:ind w:left="850" w:hanging="850"/>
      </w:pPr>
      <w:rPr>
        <w:rFonts w:hint="default"/>
      </w:rPr>
    </w:lvl>
    <w:lvl w:ilvl="8">
      <w:start w:val="1"/>
      <w:numFmt w:val="lowerRoman"/>
      <w:pStyle w:val="Heading9"/>
      <w:lvlText w:val="%9."/>
      <w:lvlJc w:val="left"/>
      <w:pPr>
        <w:ind w:left="850" w:hanging="850"/>
      </w:pPr>
      <w:rPr>
        <w:rFonts w:hint="default"/>
      </w:rPr>
    </w:lvl>
  </w:abstractNum>
  <w:abstractNum w:abstractNumId="28" w15:restartNumberingAfterBreak="0">
    <w:nsid w:val="5B132205"/>
    <w:multiLevelType w:val="hybridMultilevel"/>
    <w:tmpl w:val="27FA0D1E"/>
    <w:lvl w:ilvl="0" w:tplc="A74CAFDC">
      <w:start w:val="1"/>
      <w:numFmt w:val="bullet"/>
      <w:lvlText w:val=""/>
      <w:lvlJc w:val="left"/>
      <w:pPr>
        <w:ind w:left="720" w:hanging="360"/>
      </w:pPr>
      <w:rPr>
        <w:rFonts w:ascii="Symbol" w:hAnsi="Symbol" w:hint="default"/>
      </w:rPr>
    </w:lvl>
    <w:lvl w:ilvl="1" w:tplc="212275A6">
      <w:start w:val="1"/>
      <w:numFmt w:val="bullet"/>
      <w:lvlText w:val="o"/>
      <w:lvlJc w:val="left"/>
      <w:pPr>
        <w:ind w:left="1440" w:hanging="360"/>
      </w:pPr>
      <w:rPr>
        <w:rFonts w:ascii="Courier New" w:hAnsi="Courier New" w:hint="default"/>
      </w:rPr>
    </w:lvl>
    <w:lvl w:ilvl="2" w:tplc="CE9491C8">
      <w:start w:val="1"/>
      <w:numFmt w:val="bullet"/>
      <w:lvlText w:val=""/>
      <w:lvlJc w:val="left"/>
      <w:pPr>
        <w:ind w:left="2160" w:hanging="360"/>
      </w:pPr>
      <w:rPr>
        <w:rFonts w:ascii="Wingdings" w:hAnsi="Wingdings" w:hint="default"/>
      </w:rPr>
    </w:lvl>
    <w:lvl w:ilvl="3" w:tplc="0E1A565E">
      <w:start w:val="1"/>
      <w:numFmt w:val="bullet"/>
      <w:lvlText w:val=""/>
      <w:lvlJc w:val="left"/>
      <w:pPr>
        <w:ind w:left="2880" w:hanging="360"/>
      </w:pPr>
      <w:rPr>
        <w:rFonts w:ascii="Symbol" w:hAnsi="Symbol" w:hint="default"/>
      </w:rPr>
    </w:lvl>
    <w:lvl w:ilvl="4" w:tplc="E7E4AD00">
      <w:start w:val="1"/>
      <w:numFmt w:val="bullet"/>
      <w:lvlText w:val="o"/>
      <w:lvlJc w:val="left"/>
      <w:pPr>
        <w:ind w:left="3600" w:hanging="360"/>
      </w:pPr>
      <w:rPr>
        <w:rFonts w:ascii="Courier New" w:hAnsi="Courier New" w:hint="default"/>
      </w:rPr>
    </w:lvl>
    <w:lvl w:ilvl="5" w:tplc="674432B8">
      <w:start w:val="1"/>
      <w:numFmt w:val="bullet"/>
      <w:lvlText w:val=""/>
      <w:lvlJc w:val="left"/>
      <w:pPr>
        <w:ind w:left="4320" w:hanging="360"/>
      </w:pPr>
      <w:rPr>
        <w:rFonts w:ascii="Wingdings" w:hAnsi="Wingdings" w:hint="default"/>
      </w:rPr>
    </w:lvl>
    <w:lvl w:ilvl="6" w:tplc="1F1A7376">
      <w:start w:val="1"/>
      <w:numFmt w:val="bullet"/>
      <w:lvlText w:val=""/>
      <w:lvlJc w:val="left"/>
      <w:pPr>
        <w:ind w:left="5040" w:hanging="360"/>
      </w:pPr>
      <w:rPr>
        <w:rFonts w:ascii="Symbol" w:hAnsi="Symbol" w:hint="default"/>
      </w:rPr>
    </w:lvl>
    <w:lvl w:ilvl="7" w:tplc="D772DB24">
      <w:start w:val="1"/>
      <w:numFmt w:val="bullet"/>
      <w:lvlText w:val="o"/>
      <w:lvlJc w:val="left"/>
      <w:pPr>
        <w:ind w:left="5760" w:hanging="360"/>
      </w:pPr>
      <w:rPr>
        <w:rFonts w:ascii="Courier New" w:hAnsi="Courier New" w:hint="default"/>
      </w:rPr>
    </w:lvl>
    <w:lvl w:ilvl="8" w:tplc="8FDA1126">
      <w:start w:val="1"/>
      <w:numFmt w:val="bullet"/>
      <w:lvlText w:val=""/>
      <w:lvlJc w:val="left"/>
      <w:pPr>
        <w:ind w:left="6480" w:hanging="360"/>
      </w:pPr>
      <w:rPr>
        <w:rFonts w:ascii="Wingdings" w:hAnsi="Wingdings" w:hint="default"/>
      </w:rPr>
    </w:lvl>
  </w:abstractNum>
  <w:abstractNum w:abstractNumId="29" w15:restartNumberingAfterBreak="0">
    <w:nsid w:val="5F173858"/>
    <w:multiLevelType w:val="multilevel"/>
    <w:tmpl w:val="E9BC8D16"/>
    <w:lvl w:ilvl="0">
      <w:start w:val="1"/>
      <w:numFmt w:val="decimal"/>
      <w:lvlText w:val="%1"/>
      <w:lvlJc w:val="left"/>
      <w:pPr>
        <w:ind w:left="622" w:hanging="480"/>
      </w:pPr>
      <w:rPr>
        <w:rFonts w:hint="default"/>
      </w:rPr>
    </w:lvl>
    <w:lvl w:ilvl="1">
      <w:start w:val="1"/>
      <w:numFmt w:val="decimalZero"/>
      <w:pStyle w:val="Heading2"/>
      <w:lvlText w:val="%1.%2"/>
      <w:lvlJc w:val="left"/>
      <w:pPr>
        <w:ind w:left="480" w:hanging="480"/>
      </w:pPr>
      <w:rPr>
        <w:rFonts w:hint="default"/>
        <w:color w:val="0070C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59A027C"/>
    <w:multiLevelType w:val="multilevel"/>
    <w:tmpl w:val="ACFCE65E"/>
    <w:lvl w:ilvl="0">
      <w:start w:val="1"/>
      <w:numFmt w:val="decimal"/>
      <w:pStyle w:val="ListNumber"/>
      <w:lvlText w:val="%1."/>
      <w:lvlJc w:val="left"/>
      <w:pPr>
        <w:ind w:left="425" w:hanging="425"/>
      </w:pPr>
      <w:rPr>
        <w:rFonts w:hint="default"/>
      </w:rPr>
    </w:lvl>
    <w:lvl w:ilvl="1">
      <w:start w:val="1"/>
      <w:numFmt w:val="lowerLetter"/>
      <w:pStyle w:val="ListNumber2"/>
      <w:lvlText w:val="%2."/>
      <w:lvlJc w:val="left"/>
      <w:pPr>
        <w:tabs>
          <w:tab w:val="num" w:pos="850"/>
        </w:tabs>
        <w:ind w:left="850" w:hanging="425"/>
      </w:pPr>
      <w:rPr>
        <w:rFonts w:hint="default"/>
      </w:rPr>
    </w:lvl>
    <w:lvl w:ilvl="2">
      <w:start w:val="1"/>
      <w:numFmt w:val="lowerRoman"/>
      <w:pStyle w:val="ListNumber3"/>
      <w:lvlText w:val="%3."/>
      <w:lvlJc w:val="left"/>
      <w:pPr>
        <w:tabs>
          <w:tab w:val="num" w:pos="1275"/>
        </w:tabs>
        <w:ind w:left="1275" w:hanging="425"/>
      </w:pPr>
      <w:rPr>
        <w:rFonts w:hint="default"/>
      </w:rPr>
    </w:lvl>
    <w:lvl w:ilvl="3">
      <w:start w:val="1"/>
      <w:numFmt w:val="decimal"/>
      <w:lvlText w:val="%4."/>
      <w:lvlJc w:val="left"/>
      <w:pPr>
        <w:tabs>
          <w:tab w:val="num" w:pos="1700"/>
        </w:tabs>
        <w:ind w:left="1700" w:hanging="425"/>
      </w:pPr>
      <w:rPr>
        <w:rFonts w:hint="default"/>
      </w:rPr>
    </w:lvl>
    <w:lvl w:ilvl="4">
      <w:start w:val="1"/>
      <w:numFmt w:val="lowerLetter"/>
      <w:lvlText w:val="%5."/>
      <w:lvlJc w:val="left"/>
      <w:pPr>
        <w:tabs>
          <w:tab w:val="num" w:pos="2125"/>
        </w:tabs>
        <w:ind w:left="2125" w:hanging="425"/>
      </w:pPr>
      <w:rPr>
        <w:rFonts w:hint="default"/>
      </w:rPr>
    </w:lvl>
    <w:lvl w:ilvl="5">
      <w:start w:val="1"/>
      <w:numFmt w:val="lowerRoman"/>
      <w:lvlText w:val="%6."/>
      <w:lvlJc w:val="right"/>
      <w:pPr>
        <w:tabs>
          <w:tab w:val="num" w:pos="2550"/>
        </w:tabs>
        <w:ind w:left="2550" w:hanging="425"/>
      </w:pPr>
      <w:rPr>
        <w:rFonts w:hint="default"/>
      </w:rPr>
    </w:lvl>
    <w:lvl w:ilvl="6">
      <w:start w:val="1"/>
      <w:numFmt w:val="decimal"/>
      <w:lvlText w:val="%7."/>
      <w:lvlJc w:val="left"/>
      <w:pPr>
        <w:tabs>
          <w:tab w:val="num" w:pos="2975"/>
        </w:tabs>
        <w:ind w:left="2975" w:hanging="425"/>
      </w:pPr>
      <w:rPr>
        <w:rFonts w:hint="default"/>
      </w:rPr>
    </w:lvl>
    <w:lvl w:ilvl="7">
      <w:start w:val="1"/>
      <w:numFmt w:val="lowerLetter"/>
      <w:lvlText w:val="%8."/>
      <w:lvlJc w:val="left"/>
      <w:pPr>
        <w:tabs>
          <w:tab w:val="num" w:pos="3400"/>
        </w:tabs>
        <w:ind w:left="3400" w:hanging="425"/>
      </w:pPr>
      <w:rPr>
        <w:rFonts w:hint="default"/>
      </w:rPr>
    </w:lvl>
    <w:lvl w:ilvl="8">
      <w:start w:val="1"/>
      <w:numFmt w:val="lowerRoman"/>
      <w:lvlText w:val="%9."/>
      <w:lvlJc w:val="right"/>
      <w:pPr>
        <w:tabs>
          <w:tab w:val="num" w:pos="3825"/>
        </w:tabs>
        <w:ind w:left="3825" w:hanging="425"/>
      </w:pPr>
      <w:rPr>
        <w:rFonts w:hint="default"/>
      </w:rPr>
    </w:lvl>
  </w:abstractNum>
  <w:abstractNum w:abstractNumId="31" w15:restartNumberingAfterBreak="0">
    <w:nsid w:val="6EFE498B"/>
    <w:multiLevelType w:val="multilevel"/>
    <w:tmpl w:val="CAC44D56"/>
    <w:lvl w:ilvl="0">
      <w:start w:val="1"/>
      <w:numFmt w:val="bullet"/>
      <w:pStyle w:val="ListBullet"/>
      <w:lvlText w:val=""/>
      <w:lvlJc w:val="left"/>
      <w:pPr>
        <w:tabs>
          <w:tab w:val="num" w:pos="425"/>
        </w:tabs>
        <w:ind w:left="425" w:hanging="425"/>
      </w:pPr>
      <w:rPr>
        <w:rFonts w:ascii="Symbol" w:hAnsi="Symbol" w:hint="default"/>
        <w:color w:val="auto"/>
      </w:rPr>
    </w:lvl>
    <w:lvl w:ilvl="1">
      <w:start w:val="1"/>
      <w:numFmt w:val="bullet"/>
      <w:pStyle w:val="ListBullet2"/>
      <w:lvlText w:val="─"/>
      <w:lvlJc w:val="left"/>
      <w:pPr>
        <w:tabs>
          <w:tab w:val="num" w:pos="851"/>
        </w:tabs>
        <w:ind w:left="850" w:hanging="425"/>
      </w:pPr>
      <w:rPr>
        <w:rFonts w:ascii="Calibri" w:hAnsi="Calibri" w:hint="default"/>
        <w:color w:val="auto"/>
      </w:rPr>
    </w:lvl>
    <w:lvl w:ilvl="2">
      <w:start w:val="1"/>
      <w:numFmt w:val="bullet"/>
      <w:pStyle w:val="ListBullet3"/>
      <w:lvlText w:val=""/>
      <w:lvlJc w:val="left"/>
      <w:pPr>
        <w:tabs>
          <w:tab w:val="num" w:pos="1276"/>
        </w:tabs>
        <w:ind w:left="1275" w:hanging="425"/>
      </w:pPr>
      <w:rPr>
        <w:rFonts w:ascii="Wingdings" w:hAnsi="Wingdings" w:hint="default"/>
        <w:color w:val="auto"/>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Calibri" w:hAnsi="Calibri" w:hint="default"/>
        <w:color w:val="auto"/>
      </w:rPr>
    </w:lvl>
    <w:lvl w:ilvl="5">
      <w:start w:val="1"/>
      <w:numFmt w:val="bullet"/>
      <w:lvlText w:val=""/>
      <w:lvlJc w:val="left"/>
      <w:pPr>
        <w:tabs>
          <w:tab w:val="num" w:pos="2346"/>
        </w:tabs>
        <w:ind w:left="2550" w:hanging="425"/>
      </w:pPr>
      <w:rPr>
        <w:rFonts w:ascii="Wingdings" w:hAnsi="Wingdings" w:hint="default"/>
      </w:rPr>
    </w:lvl>
    <w:lvl w:ilvl="6">
      <w:start w:val="1"/>
      <w:numFmt w:val="bullet"/>
      <w:lvlText w:val=""/>
      <w:lvlJc w:val="left"/>
      <w:pPr>
        <w:tabs>
          <w:tab w:val="num" w:pos="2630"/>
        </w:tabs>
        <w:ind w:left="2975" w:hanging="425"/>
      </w:pPr>
      <w:rPr>
        <w:rFonts w:ascii="Symbol" w:hAnsi="Symbol" w:hint="default"/>
      </w:rPr>
    </w:lvl>
    <w:lvl w:ilvl="7">
      <w:start w:val="1"/>
      <w:numFmt w:val="bullet"/>
      <w:lvlText w:val="─"/>
      <w:lvlJc w:val="left"/>
      <w:pPr>
        <w:tabs>
          <w:tab w:val="num" w:pos="2914"/>
        </w:tabs>
        <w:ind w:left="3400" w:hanging="425"/>
      </w:pPr>
      <w:rPr>
        <w:rFonts w:ascii="Calibri" w:hAnsi="Calibri" w:hint="default"/>
        <w:color w:val="auto"/>
      </w:rPr>
    </w:lvl>
    <w:lvl w:ilvl="8">
      <w:start w:val="1"/>
      <w:numFmt w:val="bullet"/>
      <w:lvlText w:val=""/>
      <w:lvlJc w:val="left"/>
      <w:pPr>
        <w:tabs>
          <w:tab w:val="num" w:pos="3198"/>
        </w:tabs>
        <w:ind w:left="3825" w:hanging="425"/>
      </w:pPr>
      <w:rPr>
        <w:rFonts w:ascii="Wingdings" w:hAnsi="Wingdings" w:hint="default"/>
      </w:rPr>
    </w:lvl>
  </w:abstractNum>
  <w:abstractNum w:abstractNumId="32" w15:restartNumberingAfterBreak="0">
    <w:nsid w:val="74C08580"/>
    <w:multiLevelType w:val="hybridMultilevel"/>
    <w:tmpl w:val="1FB001AE"/>
    <w:lvl w:ilvl="0" w:tplc="EAE627E4">
      <w:start w:val="1"/>
      <w:numFmt w:val="bullet"/>
      <w:lvlText w:val=""/>
      <w:lvlJc w:val="left"/>
      <w:pPr>
        <w:ind w:left="720" w:hanging="360"/>
      </w:pPr>
      <w:rPr>
        <w:rFonts w:ascii="Symbol" w:hAnsi="Symbol" w:hint="default"/>
      </w:rPr>
    </w:lvl>
    <w:lvl w:ilvl="1" w:tplc="BD6C7606">
      <w:start w:val="1"/>
      <w:numFmt w:val="bullet"/>
      <w:lvlText w:val="o"/>
      <w:lvlJc w:val="left"/>
      <w:pPr>
        <w:ind w:left="1440" w:hanging="360"/>
      </w:pPr>
      <w:rPr>
        <w:rFonts w:ascii="Courier New" w:hAnsi="Courier New" w:hint="default"/>
      </w:rPr>
    </w:lvl>
    <w:lvl w:ilvl="2" w:tplc="3B7C8F64">
      <w:start w:val="1"/>
      <w:numFmt w:val="bullet"/>
      <w:lvlText w:val=""/>
      <w:lvlJc w:val="left"/>
      <w:pPr>
        <w:ind w:left="2160" w:hanging="360"/>
      </w:pPr>
      <w:rPr>
        <w:rFonts w:ascii="Wingdings" w:hAnsi="Wingdings" w:hint="default"/>
      </w:rPr>
    </w:lvl>
    <w:lvl w:ilvl="3" w:tplc="751631F8">
      <w:start w:val="1"/>
      <w:numFmt w:val="bullet"/>
      <w:lvlText w:val=""/>
      <w:lvlJc w:val="left"/>
      <w:pPr>
        <w:ind w:left="2880" w:hanging="360"/>
      </w:pPr>
      <w:rPr>
        <w:rFonts w:ascii="Symbol" w:hAnsi="Symbol" w:hint="default"/>
      </w:rPr>
    </w:lvl>
    <w:lvl w:ilvl="4" w:tplc="582AA380">
      <w:start w:val="1"/>
      <w:numFmt w:val="bullet"/>
      <w:lvlText w:val="o"/>
      <w:lvlJc w:val="left"/>
      <w:pPr>
        <w:ind w:left="3600" w:hanging="360"/>
      </w:pPr>
      <w:rPr>
        <w:rFonts w:ascii="Courier New" w:hAnsi="Courier New" w:hint="default"/>
      </w:rPr>
    </w:lvl>
    <w:lvl w:ilvl="5" w:tplc="D09442AE">
      <w:start w:val="1"/>
      <w:numFmt w:val="bullet"/>
      <w:lvlText w:val=""/>
      <w:lvlJc w:val="left"/>
      <w:pPr>
        <w:ind w:left="4320" w:hanging="360"/>
      </w:pPr>
      <w:rPr>
        <w:rFonts w:ascii="Wingdings" w:hAnsi="Wingdings" w:hint="default"/>
      </w:rPr>
    </w:lvl>
    <w:lvl w:ilvl="6" w:tplc="728AA170">
      <w:start w:val="1"/>
      <w:numFmt w:val="bullet"/>
      <w:lvlText w:val=""/>
      <w:lvlJc w:val="left"/>
      <w:pPr>
        <w:ind w:left="5040" w:hanging="360"/>
      </w:pPr>
      <w:rPr>
        <w:rFonts w:ascii="Symbol" w:hAnsi="Symbol" w:hint="default"/>
      </w:rPr>
    </w:lvl>
    <w:lvl w:ilvl="7" w:tplc="F67C7FA6">
      <w:start w:val="1"/>
      <w:numFmt w:val="bullet"/>
      <w:lvlText w:val="o"/>
      <w:lvlJc w:val="left"/>
      <w:pPr>
        <w:ind w:left="5760" w:hanging="360"/>
      </w:pPr>
      <w:rPr>
        <w:rFonts w:ascii="Courier New" w:hAnsi="Courier New" w:hint="default"/>
      </w:rPr>
    </w:lvl>
    <w:lvl w:ilvl="8" w:tplc="926E1D1C">
      <w:start w:val="1"/>
      <w:numFmt w:val="bullet"/>
      <w:lvlText w:val=""/>
      <w:lvlJc w:val="left"/>
      <w:pPr>
        <w:ind w:left="6480" w:hanging="360"/>
      </w:pPr>
      <w:rPr>
        <w:rFonts w:ascii="Wingdings" w:hAnsi="Wingdings" w:hint="default"/>
      </w:rPr>
    </w:lvl>
  </w:abstractNum>
  <w:num w:numId="1" w16cid:durableId="772751056">
    <w:abstractNumId w:val="7"/>
  </w:num>
  <w:num w:numId="2" w16cid:durableId="956327595">
    <w:abstractNumId w:val="19"/>
  </w:num>
  <w:num w:numId="3" w16cid:durableId="1205294713">
    <w:abstractNumId w:val="32"/>
  </w:num>
  <w:num w:numId="4" w16cid:durableId="719011269">
    <w:abstractNumId w:val="28"/>
  </w:num>
  <w:num w:numId="5" w16cid:durableId="1388189438">
    <w:abstractNumId w:val="22"/>
  </w:num>
  <w:num w:numId="6" w16cid:durableId="2013680429">
    <w:abstractNumId w:val="26"/>
  </w:num>
  <w:num w:numId="7" w16cid:durableId="2051764509">
    <w:abstractNumId w:val="3"/>
  </w:num>
  <w:num w:numId="8" w16cid:durableId="428045549">
    <w:abstractNumId w:val="2"/>
  </w:num>
  <w:num w:numId="9" w16cid:durableId="742917284">
    <w:abstractNumId w:val="1"/>
  </w:num>
  <w:num w:numId="10" w16cid:durableId="2001154984">
    <w:abstractNumId w:val="0"/>
  </w:num>
  <w:num w:numId="11" w16cid:durableId="918060756">
    <w:abstractNumId w:val="5"/>
  </w:num>
  <w:num w:numId="12" w16cid:durableId="644360524">
    <w:abstractNumId w:val="10"/>
  </w:num>
  <w:num w:numId="13" w16cid:durableId="1210410946">
    <w:abstractNumId w:val="27"/>
  </w:num>
  <w:num w:numId="14" w16cid:durableId="1448424815">
    <w:abstractNumId w:val="6"/>
  </w:num>
  <w:num w:numId="15" w16cid:durableId="625896221">
    <w:abstractNumId w:val="12"/>
  </w:num>
  <w:num w:numId="16" w16cid:durableId="374693030">
    <w:abstractNumId w:val="23"/>
  </w:num>
  <w:num w:numId="17" w16cid:durableId="2109423089">
    <w:abstractNumId w:val="9"/>
  </w:num>
  <w:num w:numId="18" w16cid:durableId="1103302474">
    <w:abstractNumId w:val="31"/>
  </w:num>
  <w:num w:numId="19" w16cid:durableId="689651198">
    <w:abstractNumId w:val="30"/>
  </w:num>
  <w:num w:numId="20" w16cid:durableId="1453013676">
    <w:abstractNumId w:val="14"/>
  </w:num>
  <w:num w:numId="21" w16cid:durableId="509874772">
    <w:abstractNumId w:val="17"/>
  </w:num>
  <w:num w:numId="22" w16cid:durableId="619730313">
    <w:abstractNumId w:val="17"/>
  </w:num>
  <w:num w:numId="23" w16cid:durableId="965157640">
    <w:abstractNumId w:val="25"/>
  </w:num>
  <w:num w:numId="24" w16cid:durableId="703529528">
    <w:abstractNumId w:val="16"/>
  </w:num>
  <w:num w:numId="25" w16cid:durableId="398745843">
    <w:abstractNumId w:val="13"/>
  </w:num>
  <w:num w:numId="26" w16cid:durableId="162549972">
    <w:abstractNumId w:val="4"/>
  </w:num>
  <w:num w:numId="27" w16cid:durableId="1203444208">
    <w:abstractNumId w:val="24"/>
  </w:num>
  <w:num w:numId="28" w16cid:durableId="690498439">
    <w:abstractNumId w:val="11"/>
  </w:num>
  <w:num w:numId="29" w16cid:durableId="66821777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64194934">
    <w:abstractNumId w:val="29"/>
  </w:num>
  <w:num w:numId="31" w16cid:durableId="1738361833">
    <w:abstractNumId w:val="20"/>
  </w:num>
  <w:num w:numId="32" w16cid:durableId="407310240">
    <w:abstractNumId w:val="21"/>
  </w:num>
  <w:num w:numId="33" w16cid:durableId="270626859">
    <w:abstractNumId w:val="11"/>
  </w:num>
  <w:num w:numId="34" w16cid:durableId="392772253">
    <w:abstractNumId w:val="11"/>
  </w:num>
  <w:num w:numId="35" w16cid:durableId="33845890">
    <w:abstractNumId w:val="8"/>
  </w:num>
  <w:num w:numId="36" w16cid:durableId="1924994507">
    <w:abstractNumId w:val="18"/>
  </w:num>
  <w:num w:numId="37" w16cid:durableId="1860509508">
    <w:abstractNumId w:val="1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drawingGridHorizontalSpacing w:val="6"/>
  <w:drawingGridVerticalSpacing w:val="6"/>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CTIVATED" w:val="1"/>
    <w:docVar w:name="cbTextLanguage_ListCount" w:val="0"/>
    <w:docVar w:name="cbTextLanguage_ListIndex" w:val="-1"/>
    <w:docVar w:name="CheckBox2" w:val="0"/>
    <w:docVar w:name="chkAccessibleFormat" w:val="0"/>
    <w:docVar w:name="chkChangeCoverImage" w:val="0"/>
    <w:docVar w:name="chkDraft" w:val="0"/>
    <w:docVar w:name="chkFileName" w:val="0"/>
    <w:docVar w:name="chkFileNamePath" w:val="0"/>
    <w:docVar w:name="chkIncludeClientInHedaer" w:val="0"/>
    <w:docVar w:name="chkIncludeClientonCover" w:val="0"/>
    <w:docVar w:name="chkOfficeAddressBackcover" w:val="0"/>
    <w:docVar w:name="chkPrintedOnRecycledPaper" w:val="0"/>
    <w:docVar w:name="chkSaveFooterDetails" w:val="0"/>
    <w:docVar w:name="chkSaveOfficeAddress" w:val="0"/>
    <w:docVar w:name="chkScholars" w:val="0"/>
    <w:docVar w:name="chkTagLine" w:val="-1"/>
    <w:docVar w:name="chkUKILongformLimitations" w:val="0"/>
    <w:docVar w:name="chkWhiteBorder" w:val="0"/>
    <w:docVar w:name="lbANZDisclaimers_ListCount" w:val="0"/>
    <w:docVar w:name="lbANZDisclaimers_ListIndex" w:val="-1"/>
    <w:docVar w:name="lbANZLimitations_ListCount" w:val="0"/>
    <w:docVar w:name="lbANZLimitations_ListIndex" w:val="-1"/>
    <w:docVar w:name="lbAuthor_ListCount" w:val="3"/>
    <w:docVar w:name="lbAuthor_ListIndex" w:val="-1"/>
    <w:docVar w:name="lbImages_ListCount" w:val="12"/>
    <w:docVar w:name="lbImages_ListIndex" w:val="-1"/>
    <w:docVar w:name="lbProtectiveMarkings_0" w:val="None"/>
    <w:docVar w:name="lbProtectiveMarkings_0_0" w:val="None"/>
    <w:docVar w:name="lbProtectiveMarkings_1" w:val="PUBLIC"/>
    <w:docVar w:name="lbProtectiveMarkings_1_0" w:val="PUBLIC"/>
    <w:docVar w:name="lbProtectiveMarkings_2" w:val="OFFICIAL"/>
    <w:docVar w:name="lbProtectiveMarkings_2_0" w:val="OFFICIAL"/>
    <w:docVar w:name="lbProtectiveMarkings_3" w:val="COMPANY CONFIDENTIAL"/>
    <w:docVar w:name="lbProtectiveMarkings_3_0" w:val="COMPANY CONFIDENTIAL"/>
    <w:docVar w:name="lbProtectiveMarkings_4" w:val="COMMERCIAL IN CONFIDENCE"/>
    <w:docVar w:name="lbProtectiveMarkings_4_0" w:val="COMMERCIAL IN CONFIDENCE"/>
    <w:docVar w:name="lbProtectiveMarkings_5" w:val="DRAFT"/>
    <w:docVar w:name="lbProtectiveMarkings_5_0" w:val="DRAFT"/>
    <w:docVar w:name="lbProtectiveMarkings_6" w:val="Free-type ...  (use a comma to denote a new line)"/>
    <w:docVar w:name="lbProtectiveMarkings_6_0" w:val="Free-type ...  (use a comma to denote a new line)"/>
    <w:docVar w:name="lbProtectiveMarkings_ListCount" w:val="7"/>
    <w:docVar w:name="lbProtectiveMarkings_ListIndex" w:val="-1"/>
    <w:docVar w:name="optA3Landscape" w:val="0"/>
    <w:docVar w:name="optA4" w:val="-1"/>
    <w:docVar w:name="optA4Landscape" w:val="0"/>
    <w:docVar w:name="optA4Portrait" w:val="-1"/>
    <w:docVar w:name="optAA1column" w:val="-1"/>
    <w:docVar w:name="optAA2column" w:val="0"/>
    <w:docVar w:name="optAA3column" w:val="0"/>
    <w:docVar w:name="optArcColour1" w:val="0"/>
    <w:docVar w:name="optArcColour2" w:val="0"/>
    <w:docVar w:name="optArcColour3" w:val="-1"/>
    <w:docVar w:name="optArcColour4" w:val="0"/>
    <w:docVar w:name="optArcColour5" w:val="0"/>
    <w:docVar w:name="optArcDOWN" w:val="0"/>
    <w:docVar w:name="optArcUP" w:val="-1"/>
    <w:docVar w:name="optBW" w:val="0"/>
    <w:docVar w:name="optChangeFontAECOMSans" w:val="0"/>
    <w:docVar w:name="optChangeFontArial" w:val="-1"/>
    <w:docVar w:name="optCoverColour1" w:val="0"/>
    <w:docVar w:name="optCoverColour2" w:val="-1"/>
    <w:docVar w:name="optCoverColour3" w:val="0"/>
    <w:docVar w:name="optCoverColour4" w:val="0"/>
    <w:docVar w:name="optCoverColour5" w:val="0"/>
    <w:docVar w:name="optCoversheet" w:val="0"/>
    <w:docVar w:name="optDoubleSided" w:val="0"/>
    <w:docVar w:name="optFont10" w:val="-1"/>
    <w:docVar w:name="optFont11" w:val="0"/>
    <w:docVar w:name="optFont12" w:val="0"/>
    <w:docVar w:name="optFont9" w:val="0"/>
    <w:docVar w:name="optFontAccessibility" w:val="0"/>
    <w:docVar w:name="optGraphicFull" w:val="0"/>
    <w:docVar w:name="optHeading1Font18" w:val="0"/>
    <w:docVar w:name="optHeading1Font21" w:val="-1"/>
    <w:docVar w:name="optHeading1Font24" w:val="0"/>
    <w:docVar w:name="optImagesAECOM" w:val="0"/>
    <w:docVar w:name="optImagesBrowse" w:val="0"/>
    <w:docVar w:name="optLetter" w:val="0"/>
    <w:docVar w:name="optLogo" w:val="-1"/>
    <w:docVar w:name="optNoLogo" w:val="0"/>
    <w:docVar w:name="optNumberedHeadings" w:val="-1"/>
    <w:docVar w:name="optNumberedHeadingsParagraphs" w:val="0"/>
    <w:docVar w:name="optP0" w:val="0"/>
    <w:docVar w:name="optP1" w:val="0"/>
    <w:docVar w:name="optP2" w:val="0"/>
    <w:docVar w:name="optP3" w:val="0"/>
    <w:docVar w:name="optP4" w:val="0"/>
    <w:docVar w:name="optP5" w:val="0"/>
    <w:docVar w:name="optP6" w:val="0"/>
    <w:docVar w:name="optPhotoFull" w:val="0"/>
    <w:docVar w:name="optPhotoGrahicHalf" w:val="0"/>
    <w:docVar w:name="optPlainBlue" w:val="0"/>
    <w:docVar w:name="optProposal" w:val="0"/>
    <w:docVar w:name="optS0" w:val="0"/>
    <w:docVar w:name="optS1" w:val="0"/>
    <w:docVar w:name="optS2" w:val="0"/>
    <w:docVar w:name="optS3" w:val="0"/>
    <w:docVar w:name="optS4" w:val="0"/>
    <w:docVar w:name="optS5" w:val="0"/>
    <w:docVar w:name="optS6" w:val="0"/>
    <w:docVar w:name="optSingleSided" w:val="-1"/>
    <w:docVar w:name="optTechnicalReport" w:val="-1"/>
    <w:docVar w:name="optTender" w:val="0"/>
    <w:docVar w:name="optUnNumberedHeadings" w:val="0"/>
    <w:docVar w:name="optUSLetterLandscape" w:val="0"/>
    <w:docVar w:name="optUSLetterPortrait" w:val="0"/>
    <w:docVar w:name="RERUN" w:val="1"/>
    <w:docVar w:name="SelectedCountry" w:val="0"/>
    <w:docVar w:name="SelectedEntity" w:val="0"/>
    <w:docVar w:name="SelectedGeo" w:val="0"/>
    <w:docVar w:name="SelectedLanguage" w:val="0"/>
    <w:docVar w:name="SelectedOffice" w:val="2"/>
    <w:docVar w:name="SelectedPageLayout" w:val="3"/>
    <w:docVar w:name="SelectedRegion" w:val="1"/>
    <w:docVar w:name="tbClient" w:val="National University of Ireland, Galway"/>
    <w:docVar w:name="tbDate" w:val="July 2022"/>
    <w:docVar w:name="tbDocumentTitle" w:val="NUIG Learning Commons"/>
    <w:docVar w:name="tbFooterDetails" w:val="AECOM Ireland Limited registered in Ireland._x000d__x000a_"/>
    <w:docVar w:name="tbImage" w:val="None"/>
    <w:docVar w:name="tbOfficeAddress" w:val="AECOM Ireland Limited_x000d__x000a_4th Floor_x000d__x000a_Adelphi Plaza_x000d__x000a_Georges Street Upper_x000d__x000a_Dun Laoghaire_x000d__x000a_Co. Dublin A96 T927_x000d__x000a_Ireland_x000d__x000a__x000d__x000a_T: +353 1 238 3100_x000d__x000a_aecom.com"/>
    <w:docVar w:name="tbSubtitle" w:val="Preliminary Business Case"/>
    <w:docVar w:name="TranslateChart" w:val="Chart"/>
    <w:docVar w:name="TranslateFigure" w:val="Figure"/>
    <w:docVar w:name="TranslateTable" w:val="Table"/>
  </w:docVars>
  <w:rsids>
    <w:rsidRoot w:val="00DF24C4"/>
    <w:rsid w:val="00000379"/>
    <w:rsid w:val="0000046C"/>
    <w:rsid w:val="00000556"/>
    <w:rsid w:val="000005B3"/>
    <w:rsid w:val="000007F4"/>
    <w:rsid w:val="00001142"/>
    <w:rsid w:val="0000211F"/>
    <w:rsid w:val="00002E47"/>
    <w:rsid w:val="00003BAF"/>
    <w:rsid w:val="00003D38"/>
    <w:rsid w:val="000040B1"/>
    <w:rsid w:val="00004179"/>
    <w:rsid w:val="00004730"/>
    <w:rsid w:val="00005362"/>
    <w:rsid w:val="0000567F"/>
    <w:rsid w:val="00005796"/>
    <w:rsid w:val="000057DE"/>
    <w:rsid w:val="00005EE5"/>
    <w:rsid w:val="00006D6E"/>
    <w:rsid w:val="00007228"/>
    <w:rsid w:val="0001071D"/>
    <w:rsid w:val="000107FF"/>
    <w:rsid w:val="00010B8E"/>
    <w:rsid w:val="00010CF3"/>
    <w:rsid w:val="0001113F"/>
    <w:rsid w:val="000111FD"/>
    <w:rsid w:val="00011721"/>
    <w:rsid w:val="00011B0A"/>
    <w:rsid w:val="00011CC6"/>
    <w:rsid w:val="00012A6F"/>
    <w:rsid w:val="0001312C"/>
    <w:rsid w:val="00013C4A"/>
    <w:rsid w:val="000144E9"/>
    <w:rsid w:val="00014680"/>
    <w:rsid w:val="000150DB"/>
    <w:rsid w:val="00015BCB"/>
    <w:rsid w:val="00016970"/>
    <w:rsid w:val="000169D6"/>
    <w:rsid w:val="00016FCB"/>
    <w:rsid w:val="000172B7"/>
    <w:rsid w:val="00017724"/>
    <w:rsid w:val="000206E3"/>
    <w:rsid w:val="000209FA"/>
    <w:rsid w:val="00020CBE"/>
    <w:rsid w:val="00020F8B"/>
    <w:rsid w:val="00021294"/>
    <w:rsid w:val="000221C9"/>
    <w:rsid w:val="00022553"/>
    <w:rsid w:val="000230A7"/>
    <w:rsid w:val="00023931"/>
    <w:rsid w:val="000239FF"/>
    <w:rsid w:val="00023F39"/>
    <w:rsid w:val="00024409"/>
    <w:rsid w:val="00025051"/>
    <w:rsid w:val="00026958"/>
    <w:rsid w:val="00026BF3"/>
    <w:rsid w:val="00027303"/>
    <w:rsid w:val="0002790D"/>
    <w:rsid w:val="00027D31"/>
    <w:rsid w:val="00027DA4"/>
    <w:rsid w:val="0003042D"/>
    <w:rsid w:val="00030E0F"/>
    <w:rsid w:val="0003139A"/>
    <w:rsid w:val="0003173A"/>
    <w:rsid w:val="000319D6"/>
    <w:rsid w:val="0003297A"/>
    <w:rsid w:val="00032A21"/>
    <w:rsid w:val="00032F34"/>
    <w:rsid w:val="00033AAA"/>
    <w:rsid w:val="00034231"/>
    <w:rsid w:val="00034495"/>
    <w:rsid w:val="000349EE"/>
    <w:rsid w:val="00034B6C"/>
    <w:rsid w:val="000354ED"/>
    <w:rsid w:val="00035B28"/>
    <w:rsid w:val="00035B76"/>
    <w:rsid w:val="000364E3"/>
    <w:rsid w:val="0003667A"/>
    <w:rsid w:val="0003724F"/>
    <w:rsid w:val="0003736D"/>
    <w:rsid w:val="000400C5"/>
    <w:rsid w:val="000408F3"/>
    <w:rsid w:val="000408FA"/>
    <w:rsid w:val="00040AAB"/>
    <w:rsid w:val="00040F61"/>
    <w:rsid w:val="000418C0"/>
    <w:rsid w:val="000424A1"/>
    <w:rsid w:val="00042764"/>
    <w:rsid w:val="00044087"/>
    <w:rsid w:val="00044305"/>
    <w:rsid w:val="00044B28"/>
    <w:rsid w:val="000454F3"/>
    <w:rsid w:val="00046095"/>
    <w:rsid w:val="000461F4"/>
    <w:rsid w:val="0004686C"/>
    <w:rsid w:val="00046A62"/>
    <w:rsid w:val="0004726B"/>
    <w:rsid w:val="0004754C"/>
    <w:rsid w:val="000476E6"/>
    <w:rsid w:val="00047A26"/>
    <w:rsid w:val="00047F1E"/>
    <w:rsid w:val="00050057"/>
    <w:rsid w:val="0005044D"/>
    <w:rsid w:val="00050DA4"/>
    <w:rsid w:val="00051CEB"/>
    <w:rsid w:val="00051E69"/>
    <w:rsid w:val="0005204D"/>
    <w:rsid w:val="0005363D"/>
    <w:rsid w:val="000537D2"/>
    <w:rsid w:val="00053F18"/>
    <w:rsid w:val="00053F92"/>
    <w:rsid w:val="00054465"/>
    <w:rsid w:val="000549D7"/>
    <w:rsid w:val="00056AF7"/>
    <w:rsid w:val="0005712C"/>
    <w:rsid w:val="00057243"/>
    <w:rsid w:val="0005776B"/>
    <w:rsid w:val="0005782B"/>
    <w:rsid w:val="00057B6F"/>
    <w:rsid w:val="00060341"/>
    <w:rsid w:val="000604D6"/>
    <w:rsid w:val="00060705"/>
    <w:rsid w:val="0006087E"/>
    <w:rsid w:val="00060F50"/>
    <w:rsid w:val="000614AF"/>
    <w:rsid w:val="00062849"/>
    <w:rsid w:val="00062EB1"/>
    <w:rsid w:val="00062EC2"/>
    <w:rsid w:val="000638C6"/>
    <w:rsid w:val="00063EF3"/>
    <w:rsid w:val="0006435B"/>
    <w:rsid w:val="00064387"/>
    <w:rsid w:val="000652F7"/>
    <w:rsid w:val="0006555D"/>
    <w:rsid w:val="00065A2D"/>
    <w:rsid w:val="000660E9"/>
    <w:rsid w:val="000663FA"/>
    <w:rsid w:val="000664FA"/>
    <w:rsid w:val="00066531"/>
    <w:rsid w:val="0006675D"/>
    <w:rsid w:val="00066967"/>
    <w:rsid w:val="000669EA"/>
    <w:rsid w:val="00066A8B"/>
    <w:rsid w:val="00066EA7"/>
    <w:rsid w:val="000670CA"/>
    <w:rsid w:val="00067457"/>
    <w:rsid w:val="000675EE"/>
    <w:rsid w:val="00070A32"/>
    <w:rsid w:val="0007195F"/>
    <w:rsid w:val="00072A1D"/>
    <w:rsid w:val="00072C66"/>
    <w:rsid w:val="000733FB"/>
    <w:rsid w:val="00074512"/>
    <w:rsid w:val="0007516E"/>
    <w:rsid w:val="00075A45"/>
    <w:rsid w:val="00075D01"/>
    <w:rsid w:val="000765BD"/>
    <w:rsid w:val="000772CC"/>
    <w:rsid w:val="00077DB8"/>
    <w:rsid w:val="000803BB"/>
    <w:rsid w:val="00080F78"/>
    <w:rsid w:val="0008106E"/>
    <w:rsid w:val="0008131C"/>
    <w:rsid w:val="00081A73"/>
    <w:rsid w:val="00081CE0"/>
    <w:rsid w:val="00082023"/>
    <w:rsid w:val="00082C66"/>
    <w:rsid w:val="00083181"/>
    <w:rsid w:val="00083354"/>
    <w:rsid w:val="00083E28"/>
    <w:rsid w:val="000840C5"/>
    <w:rsid w:val="00084921"/>
    <w:rsid w:val="0008533E"/>
    <w:rsid w:val="00085447"/>
    <w:rsid w:val="0008577C"/>
    <w:rsid w:val="00085935"/>
    <w:rsid w:val="00085F4F"/>
    <w:rsid w:val="000867EF"/>
    <w:rsid w:val="00086A2E"/>
    <w:rsid w:val="00086D98"/>
    <w:rsid w:val="00086DC4"/>
    <w:rsid w:val="000877F9"/>
    <w:rsid w:val="00087F0F"/>
    <w:rsid w:val="00090439"/>
    <w:rsid w:val="0009057D"/>
    <w:rsid w:val="00090EBE"/>
    <w:rsid w:val="0009153B"/>
    <w:rsid w:val="00091B37"/>
    <w:rsid w:val="00092669"/>
    <w:rsid w:val="00092B68"/>
    <w:rsid w:val="00093224"/>
    <w:rsid w:val="00093A39"/>
    <w:rsid w:val="00093FD9"/>
    <w:rsid w:val="000941FF"/>
    <w:rsid w:val="00095087"/>
    <w:rsid w:val="00095E83"/>
    <w:rsid w:val="0009611E"/>
    <w:rsid w:val="000967C2"/>
    <w:rsid w:val="00096B14"/>
    <w:rsid w:val="00096DBA"/>
    <w:rsid w:val="00096DD6"/>
    <w:rsid w:val="00096EB8"/>
    <w:rsid w:val="00097149"/>
    <w:rsid w:val="00097277"/>
    <w:rsid w:val="00097B80"/>
    <w:rsid w:val="00097E40"/>
    <w:rsid w:val="000A050C"/>
    <w:rsid w:val="000A0857"/>
    <w:rsid w:val="000A0CEB"/>
    <w:rsid w:val="000A0F4E"/>
    <w:rsid w:val="000A14DC"/>
    <w:rsid w:val="000A1B68"/>
    <w:rsid w:val="000A2371"/>
    <w:rsid w:val="000A2A74"/>
    <w:rsid w:val="000A2D0C"/>
    <w:rsid w:val="000A2EB1"/>
    <w:rsid w:val="000A2EFB"/>
    <w:rsid w:val="000A3B1D"/>
    <w:rsid w:val="000A3BD4"/>
    <w:rsid w:val="000A4733"/>
    <w:rsid w:val="000A505D"/>
    <w:rsid w:val="000A5102"/>
    <w:rsid w:val="000A5410"/>
    <w:rsid w:val="000A58A4"/>
    <w:rsid w:val="000A5A07"/>
    <w:rsid w:val="000A5E31"/>
    <w:rsid w:val="000A6509"/>
    <w:rsid w:val="000A6A13"/>
    <w:rsid w:val="000A7014"/>
    <w:rsid w:val="000A7345"/>
    <w:rsid w:val="000A7D62"/>
    <w:rsid w:val="000A7F4E"/>
    <w:rsid w:val="000B0EFC"/>
    <w:rsid w:val="000B16BD"/>
    <w:rsid w:val="000B1DC7"/>
    <w:rsid w:val="000B1E44"/>
    <w:rsid w:val="000B209F"/>
    <w:rsid w:val="000B28E6"/>
    <w:rsid w:val="000B39AE"/>
    <w:rsid w:val="000B3F1F"/>
    <w:rsid w:val="000B4F23"/>
    <w:rsid w:val="000B5427"/>
    <w:rsid w:val="000B5606"/>
    <w:rsid w:val="000B619C"/>
    <w:rsid w:val="000B636C"/>
    <w:rsid w:val="000B6940"/>
    <w:rsid w:val="000B73C5"/>
    <w:rsid w:val="000B7567"/>
    <w:rsid w:val="000C0AB3"/>
    <w:rsid w:val="000C0BBB"/>
    <w:rsid w:val="000C0D5A"/>
    <w:rsid w:val="000C2038"/>
    <w:rsid w:val="000C215E"/>
    <w:rsid w:val="000C21B9"/>
    <w:rsid w:val="000C22AB"/>
    <w:rsid w:val="000C2338"/>
    <w:rsid w:val="000C2A20"/>
    <w:rsid w:val="000C2A66"/>
    <w:rsid w:val="000C3077"/>
    <w:rsid w:val="000C3215"/>
    <w:rsid w:val="000C32F8"/>
    <w:rsid w:val="000C334B"/>
    <w:rsid w:val="000C3C1D"/>
    <w:rsid w:val="000C3F75"/>
    <w:rsid w:val="000C41BE"/>
    <w:rsid w:val="000C48A6"/>
    <w:rsid w:val="000C49AC"/>
    <w:rsid w:val="000C4AED"/>
    <w:rsid w:val="000C4D56"/>
    <w:rsid w:val="000C4F75"/>
    <w:rsid w:val="000C576B"/>
    <w:rsid w:val="000C6301"/>
    <w:rsid w:val="000C6312"/>
    <w:rsid w:val="000C6D3B"/>
    <w:rsid w:val="000C7EFF"/>
    <w:rsid w:val="000D04D7"/>
    <w:rsid w:val="000D0F14"/>
    <w:rsid w:val="000D0F6E"/>
    <w:rsid w:val="000D1184"/>
    <w:rsid w:val="000D13AF"/>
    <w:rsid w:val="000D1F1D"/>
    <w:rsid w:val="000D23BF"/>
    <w:rsid w:val="000D399C"/>
    <w:rsid w:val="000D3F68"/>
    <w:rsid w:val="000D4D64"/>
    <w:rsid w:val="000D4EF0"/>
    <w:rsid w:val="000D4FE2"/>
    <w:rsid w:val="000D5999"/>
    <w:rsid w:val="000D610E"/>
    <w:rsid w:val="000D6783"/>
    <w:rsid w:val="000D6903"/>
    <w:rsid w:val="000D79F8"/>
    <w:rsid w:val="000D7A5C"/>
    <w:rsid w:val="000D7C8B"/>
    <w:rsid w:val="000E00EC"/>
    <w:rsid w:val="000E133E"/>
    <w:rsid w:val="000E22DA"/>
    <w:rsid w:val="000E2654"/>
    <w:rsid w:val="000E2E8F"/>
    <w:rsid w:val="000E3001"/>
    <w:rsid w:val="000E3333"/>
    <w:rsid w:val="000E3954"/>
    <w:rsid w:val="000E4587"/>
    <w:rsid w:val="000E49B8"/>
    <w:rsid w:val="000E4CA9"/>
    <w:rsid w:val="000E5145"/>
    <w:rsid w:val="000E5332"/>
    <w:rsid w:val="000E5FDB"/>
    <w:rsid w:val="000E6328"/>
    <w:rsid w:val="000E6AEA"/>
    <w:rsid w:val="000E6C53"/>
    <w:rsid w:val="000E6E26"/>
    <w:rsid w:val="000E738C"/>
    <w:rsid w:val="000E7753"/>
    <w:rsid w:val="000F0027"/>
    <w:rsid w:val="000F0123"/>
    <w:rsid w:val="000F04C3"/>
    <w:rsid w:val="000F1C07"/>
    <w:rsid w:val="000F22FF"/>
    <w:rsid w:val="000F29C2"/>
    <w:rsid w:val="000F2C08"/>
    <w:rsid w:val="000F32F4"/>
    <w:rsid w:val="000F37E6"/>
    <w:rsid w:val="000F3839"/>
    <w:rsid w:val="000F4103"/>
    <w:rsid w:val="000F4142"/>
    <w:rsid w:val="000F4580"/>
    <w:rsid w:val="000F49F9"/>
    <w:rsid w:val="000F4ABC"/>
    <w:rsid w:val="000F4ADB"/>
    <w:rsid w:val="000F5328"/>
    <w:rsid w:val="000F5C8D"/>
    <w:rsid w:val="000F6171"/>
    <w:rsid w:val="000F63CE"/>
    <w:rsid w:val="000F65C3"/>
    <w:rsid w:val="000F65F1"/>
    <w:rsid w:val="000F66C9"/>
    <w:rsid w:val="000F6CC9"/>
    <w:rsid w:val="000F72B0"/>
    <w:rsid w:val="000F7596"/>
    <w:rsid w:val="001000CF"/>
    <w:rsid w:val="00100AD6"/>
    <w:rsid w:val="00100F04"/>
    <w:rsid w:val="001019C4"/>
    <w:rsid w:val="00101AAB"/>
    <w:rsid w:val="00101CCE"/>
    <w:rsid w:val="001022A6"/>
    <w:rsid w:val="001022E8"/>
    <w:rsid w:val="001032C6"/>
    <w:rsid w:val="00104071"/>
    <w:rsid w:val="0010409E"/>
    <w:rsid w:val="001047DE"/>
    <w:rsid w:val="001053F0"/>
    <w:rsid w:val="00106282"/>
    <w:rsid w:val="001065FE"/>
    <w:rsid w:val="0010696C"/>
    <w:rsid w:val="001079B0"/>
    <w:rsid w:val="00110478"/>
    <w:rsid w:val="0011058D"/>
    <w:rsid w:val="00110A76"/>
    <w:rsid w:val="00110CA6"/>
    <w:rsid w:val="001114E0"/>
    <w:rsid w:val="001115B6"/>
    <w:rsid w:val="001116B1"/>
    <w:rsid w:val="00111B84"/>
    <w:rsid w:val="00111D71"/>
    <w:rsid w:val="00111D91"/>
    <w:rsid w:val="001121DB"/>
    <w:rsid w:val="001124B4"/>
    <w:rsid w:val="00112827"/>
    <w:rsid w:val="00113896"/>
    <w:rsid w:val="0011392D"/>
    <w:rsid w:val="00113CED"/>
    <w:rsid w:val="00114CE7"/>
    <w:rsid w:val="00115CA4"/>
    <w:rsid w:val="0011752B"/>
    <w:rsid w:val="00120598"/>
    <w:rsid w:val="0012093B"/>
    <w:rsid w:val="00120C86"/>
    <w:rsid w:val="001225B8"/>
    <w:rsid w:val="00123290"/>
    <w:rsid w:val="0012378B"/>
    <w:rsid w:val="001238DB"/>
    <w:rsid w:val="00124056"/>
    <w:rsid w:val="00124A69"/>
    <w:rsid w:val="0012518B"/>
    <w:rsid w:val="00125DCD"/>
    <w:rsid w:val="00126271"/>
    <w:rsid w:val="00126821"/>
    <w:rsid w:val="0012697D"/>
    <w:rsid w:val="00126B9A"/>
    <w:rsid w:val="00126E75"/>
    <w:rsid w:val="00127671"/>
    <w:rsid w:val="00127AF4"/>
    <w:rsid w:val="00127F02"/>
    <w:rsid w:val="00130815"/>
    <w:rsid w:val="00130FF3"/>
    <w:rsid w:val="001313F1"/>
    <w:rsid w:val="001315BF"/>
    <w:rsid w:val="00131B7D"/>
    <w:rsid w:val="00131D44"/>
    <w:rsid w:val="00131DE3"/>
    <w:rsid w:val="00131DFA"/>
    <w:rsid w:val="001320E8"/>
    <w:rsid w:val="00132728"/>
    <w:rsid w:val="00132860"/>
    <w:rsid w:val="00132A05"/>
    <w:rsid w:val="00133853"/>
    <w:rsid w:val="001343B0"/>
    <w:rsid w:val="001344BD"/>
    <w:rsid w:val="00134992"/>
    <w:rsid w:val="00135598"/>
    <w:rsid w:val="00135D79"/>
    <w:rsid w:val="00136AA6"/>
    <w:rsid w:val="00136BA2"/>
    <w:rsid w:val="00136C29"/>
    <w:rsid w:val="0013717A"/>
    <w:rsid w:val="001371BC"/>
    <w:rsid w:val="00137329"/>
    <w:rsid w:val="001376E4"/>
    <w:rsid w:val="00137944"/>
    <w:rsid w:val="00137AC6"/>
    <w:rsid w:val="00140176"/>
    <w:rsid w:val="001402C9"/>
    <w:rsid w:val="0014088C"/>
    <w:rsid w:val="001408A2"/>
    <w:rsid w:val="001409A4"/>
    <w:rsid w:val="00140F9E"/>
    <w:rsid w:val="0014102D"/>
    <w:rsid w:val="0014144B"/>
    <w:rsid w:val="0014212F"/>
    <w:rsid w:val="0014217E"/>
    <w:rsid w:val="00142197"/>
    <w:rsid w:val="00142610"/>
    <w:rsid w:val="00142ABF"/>
    <w:rsid w:val="00142B2B"/>
    <w:rsid w:val="001430F2"/>
    <w:rsid w:val="001431EA"/>
    <w:rsid w:val="00143D54"/>
    <w:rsid w:val="00143DD3"/>
    <w:rsid w:val="00143E55"/>
    <w:rsid w:val="00143FC5"/>
    <w:rsid w:val="00144015"/>
    <w:rsid w:val="0014409F"/>
    <w:rsid w:val="00144B71"/>
    <w:rsid w:val="00144CD2"/>
    <w:rsid w:val="001453AD"/>
    <w:rsid w:val="001454BE"/>
    <w:rsid w:val="00145502"/>
    <w:rsid w:val="00145561"/>
    <w:rsid w:val="001455C6"/>
    <w:rsid w:val="0014571E"/>
    <w:rsid w:val="00145B14"/>
    <w:rsid w:val="001463BE"/>
    <w:rsid w:val="001464DB"/>
    <w:rsid w:val="00146B9C"/>
    <w:rsid w:val="00147532"/>
    <w:rsid w:val="001475BC"/>
    <w:rsid w:val="00147F53"/>
    <w:rsid w:val="00150531"/>
    <w:rsid w:val="00150CF6"/>
    <w:rsid w:val="00151699"/>
    <w:rsid w:val="001517FE"/>
    <w:rsid w:val="00151EB3"/>
    <w:rsid w:val="001521C4"/>
    <w:rsid w:val="001525C6"/>
    <w:rsid w:val="00152B3C"/>
    <w:rsid w:val="00152B62"/>
    <w:rsid w:val="0015346B"/>
    <w:rsid w:val="001535D0"/>
    <w:rsid w:val="00153760"/>
    <w:rsid w:val="00154631"/>
    <w:rsid w:val="001549B5"/>
    <w:rsid w:val="00154C64"/>
    <w:rsid w:val="00156F25"/>
    <w:rsid w:val="00156FF3"/>
    <w:rsid w:val="001571AE"/>
    <w:rsid w:val="001574EC"/>
    <w:rsid w:val="00160A39"/>
    <w:rsid w:val="0016129F"/>
    <w:rsid w:val="00162385"/>
    <w:rsid w:val="00162953"/>
    <w:rsid w:val="00163E09"/>
    <w:rsid w:val="00164005"/>
    <w:rsid w:val="00164B9D"/>
    <w:rsid w:val="00164CB2"/>
    <w:rsid w:val="00165220"/>
    <w:rsid w:val="00166D71"/>
    <w:rsid w:val="0016767D"/>
    <w:rsid w:val="0016774F"/>
    <w:rsid w:val="00170602"/>
    <w:rsid w:val="0017062D"/>
    <w:rsid w:val="00170915"/>
    <w:rsid w:val="00171125"/>
    <w:rsid w:val="0017116A"/>
    <w:rsid w:val="00171289"/>
    <w:rsid w:val="00171754"/>
    <w:rsid w:val="00171912"/>
    <w:rsid w:val="0017209C"/>
    <w:rsid w:val="0017244F"/>
    <w:rsid w:val="0017364B"/>
    <w:rsid w:val="0017451B"/>
    <w:rsid w:val="001749E9"/>
    <w:rsid w:val="00174E32"/>
    <w:rsid w:val="001750DB"/>
    <w:rsid w:val="00175718"/>
    <w:rsid w:val="00175D2C"/>
    <w:rsid w:val="00175ECA"/>
    <w:rsid w:val="00176F53"/>
    <w:rsid w:val="00177077"/>
    <w:rsid w:val="00177C13"/>
    <w:rsid w:val="00177DEA"/>
    <w:rsid w:val="00180168"/>
    <w:rsid w:val="0018100D"/>
    <w:rsid w:val="0018120D"/>
    <w:rsid w:val="0018156D"/>
    <w:rsid w:val="0018164D"/>
    <w:rsid w:val="00181B11"/>
    <w:rsid w:val="00182399"/>
    <w:rsid w:val="00182486"/>
    <w:rsid w:val="0018305D"/>
    <w:rsid w:val="00183F40"/>
    <w:rsid w:val="00184160"/>
    <w:rsid w:val="00184480"/>
    <w:rsid w:val="001847A4"/>
    <w:rsid w:val="001855B4"/>
    <w:rsid w:val="00185C7E"/>
    <w:rsid w:val="00185E3E"/>
    <w:rsid w:val="00186090"/>
    <w:rsid w:val="00186702"/>
    <w:rsid w:val="001867E7"/>
    <w:rsid w:val="00186F8A"/>
    <w:rsid w:val="001871D0"/>
    <w:rsid w:val="00187D4C"/>
    <w:rsid w:val="00187FBD"/>
    <w:rsid w:val="00190CDA"/>
    <w:rsid w:val="00190F99"/>
    <w:rsid w:val="00191A7A"/>
    <w:rsid w:val="001920F8"/>
    <w:rsid w:val="00193189"/>
    <w:rsid w:val="001933C3"/>
    <w:rsid w:val="001934CA"/>
    <w:rsid w:val="001937F2"/>
    <w:rsid w:val="00193839"/>
    <w:rsid w:val="00193855"/>
    <w:rsid w:val="001938D0"/>
    <w:rsid w:val="00193D84"/>
    <w:rsid w:val="001941CF"/>
    <w:rsid w:val="0019430C"/>
    <w:rsid w:val="001947A1"/>
    <w:rsid w:val="0019530C"/>
    <w:rsid w:val="00195713"/>
    <w:rsid w:val="001959D5"/>
    <w:rsid w:val="001960E9"/>
    <w:rsid w:val="00196479"/>
    <w:rsid w:val="0019685E"/>
    <w:rsid w:val="00196E20"/>
    <w:rsid w:val="001970F5"/>
    <w:rsid w:val="0019771F"/>
    <w:rsid w:val="001A0814"/>
    <w:rsid w:val="001A08B0"/>
    <w:rsid w:val="001A11B6"/>
    <w:rsid w:val="001A149D"/>
    <w:rsid w:val="001A19B4"/>
    <w:rsid w:val="001A1F07"/>
    <w:rsid w:val="001A1F61"/>
    <w:rsid w:val="001A25DE"/>
    <w:rsid w:val="001A2B1B"/>
    <w:rsid w:val="001A2B52"/>
    <w:rsid w:val="001A2C96"/>
    <w:rsid w:val="001A324D"/>
    <w:rsid w:val="001A3D3F"/>
    <w:rsid w:val="001A3F6A"/>
    <w:rsid w:val="001A4366"/>
    <w:rsid w:val="001A51D1"/>
    <w:rsid w:val="001A52C9"/>
    <w:rsid w:val="001A52DD"/>
    <w:rsid w:val="001A5B8E"/>
    <w:rsid w:val="001A6050"/>
    <w:rsid w:val="001A6854"/>
    <w:rsid w:val="001A6E86"/>
    <w:rsid w:val="001A70FF"/>
    <w:rsid w:val="001A71AE"/>
    <w:rsid w:val="001A7798"/>
    <w:rsid w:val="001A793E"/>
    <w:rsid w:val="001A7E27"/>
    <w:rsid w:val="001A7EA1"/>
    <w:rsid w:val="001A7F5D"/>
    <w:rsid w:val="001B09E3"/>
    <w:rsid w:val="001B1269"/>
    <w:rsid w:val="001B143D"/>
    <w:rsid w:val="001B170E"/>
    <w:rsid w:val="001B189F"/>
    <w:rsid w:val="001B1E5E"/>
    <w:rsid w:val="001B1E8A"/>
    <w:rsid w:val="001B1FF3"/>
    <w:rsid w:val="001B20D1"/>
    <w:rsid w:val="001B282E"/>
    <w:rsid w:val="001B380E"/>
    <w:rsid w:val="001B3BF9"/>
    <w:rsid w:val="001B56FC"/>
    <w:rsid w:val="001B6099"/>
    <w:rsid w:val="001B70B3"/>
    <w:rsid w:val="001B7C72"/>
    <w:rsid w:val="001C01D1"/>
    <w:rsid w:val="001C0296"/>
    <w:rsid w:val="001C060A"/>
    <w:rsid w:val="001C07AF"/>
    <w:rsid w:val="001C0FBB"/>
    <w:rsid w:val="001C15EE"/>
    <w:rsid w:val="001C1C6E"/>
    <w:rsid w:val="001C2297"/>
    <w:rsid w:val="001C2925"/>
    <w:rsid w:val="001C2BC0"/>
    <w:rsid w:val="001C3018"/>
    <w:rsid w:val="001C34E3"/>
    <w:rsid w:val="001C39B8"/>
    <w:rsid w:val="001C3BD8"/>
    <w:rsid w:val="001C3BE3"/>
    <w:rsid w:val="001C3BFA"/>
    <w:rsid w:val="001C3EE2"/>
    <w:rsid w:val="001C470D"/>
    <w:rsid w:val="001C47DB"/>
    <w:rsid w:val="001C47FC"/>
    <w:rsid w:val="001C51D7"/>
    <w:rsid w:val="001C54C1"/>
    <w:rsid w:val="001C5A4F"/>
    <w:rsid w:val="001C5F36"/>
    <w:rsid w:val="001C6024"/>
    <w:rsid w:val="001C60EF"/>
    <w:rsid w:val="001C6209"/>
    <w:rsid w:val="001C6469"/>
    <w:rsid w:val="001C684D"/>
    <w:rsid w:val="001C6A1A"/>
    <w:rsid w:val="001C7705"/>
    <w:rsid w:val="001C7745"/>
    <w:rsid w:val="001C78F9"/>
    <w:rsid w:val="001C7D04"/>
    <w:rsid w:val="001D0355"/>
    <w:rsid w:val="001D10A9"/>
    <w:rsid w:val="001D1299"/>
    <w:rsid w:val="001D150B"/>
    <w:rsid w:val="001D1850"/>
    <w:rsid w:val="001D1A3B"/>
    <w:rsid w:val="001D27A6"/>
    <w:rsid w:val="001D2966"/>
    <w:rsid w:val="001D33BC"/>
    <w:rsid w:val="001D3B7E"/>
    <w:rsid w:val="001D4088"/>
    <w:rsid w:val="001D40F8"/>
    <w:rsid w:val="001D499A"/>
    <w:rsid w:val="001D552C"/>
    <w:rsid w:val="001D5CAA"/>
    <w:rsid w:val="001D604B"/>
    <w:rsid w:val="001D6E25"/>
    <w:rsid w:val="001D6F1E"/>
    <w:rsid w:val="001D7AC1"/>
    <w:rsid w:val="001E02DD"/>
    <w:rsid w:val="001E0C4E"/>
    <w:rsid w:val="001E0DE5"/>
    <w:rsid w:val="001E15B8"/>
    <w:rsid w:val="001E1B3C"/>
    <w:rsid w:val="001E1DB1"/>
    <w:rsid w:val="001E1F8C"/>
    <w:rsid w:val="001E2AE9"/>
    <w:rsid w:val="001E31EC"/>
    <w:rsid w:val="001E360D"/>
    <w:rsid w:val="001E4006"/>
    <w:rsid w:val="001E49E5"/>
    <w:rsid w:val="001E4CFE"/>
    <w:rsid w:val="001E6635"/>
    <w:rsid w:val="001E6F0F"/>
    <w:rsid w:val="001E73AA"/>
    <w:rsid w:val="001E7B0F"/>
    <w:rsid w:val="001F013F"/>
    <w:rsid w:val="001F0668"/>
    <w:rsid w:val="001F09A7"/>
    <w:rsid w:val="001F142A"/>
    <w:rsid w:val="001F1C78"/>
    <w:rsid w:val="001F2BDC"/>
    <w:rsid w:val="001F2D4E"/>
    <w:rsid w:val="001F2E44"/>
    <w:rsid w:val="001F2EB8"/>
    <w:rsid w:val="001F2F21"/>
    <w:rsid w:val="001F34A3"/>
    <w:rsid w:val="001F3B74"/>
    <w:rsid w:val="001F4214"/>
    <w:rsid w:val="001F4510"/>
    <w:rsid w:val="001F4B6A"/>
    <w:rsid w:val="001F4F9C"/>
    <w:rsid w:val="001F5ADB"/>
    <w:rsid w:val="001F5E46"/>
    <w:rsid w:val="001F65D4"/>
    <w:rsid w:val="001F66D8"/>
    <w:rsid w:val="001F6710"/>
    <w:rsid w:val="001F6C82"/>
    <w:rsid w:val="00200613"/>
    <w:rsid w:val="00200664"/>
    <w:rsid w:val="002015CE"/>
    <w:rsid w:val="00201773"/>
    <w:rsid w:val="00201FB0"/>
    <w:rsid w:val="002024D6"/>
    <w:rsid w:val="00203182"/>
    <w:rsid w:val="002035FA"/>
    <w:rsid w:val="00203A4A"/>
    <w:rsid w:val="00204146"/>
    <w:rsid w:val="002043D0"/>
    <w:rsid w:val="0020448A"/>
    <w:rsid w:val="002048EF"/>
    <w:rsid w:val="00204E9F"/>
    <w:rsid w:val="0020666D"/>
    <w:rsid w:val="0020700D"/>
    <w:rsid w:val="0020723F"/>
    <w:rsid w:val="0020778E"/>
    <w:rsid w:val="00207F3F"/>
    <w:rsid w:val="002105C1"/>
    <w:rsid w:val="00210CB0"/>
    <w:rsid w:val="002122AA"/>
    <w:rsid w:val="00213392"/>
    <w:rsid w:val="002134B0"/>
    <w:rsid w:val="0021362D"/>
    <w:rsid w:val="00214171"/>
    <w:rsid w:val="00214612"/>
    <w:rsid w:val="00214713"/>
    <w:rsid w:val="002147C0"/>
    <w:rsid w:val="002154A4"/>
    <w:rsid w:val="0021578F"/>
    <w:rsid w:val="0021591F"/>
    <w:rsid w:val="00215A63"/>
    <w:rsid w:val="00215A8B"/>
    <w:rsid w:val="00215E55"/>
    <w:rsid w:val="00215FCC"/>
    <w:rsid w:val="002164A0"/>
    <w:rsid w:val="00216916"/>
    <w:rsid w:val="00216F12"/>
    <w:rsid w:val="00217104"/>
    <w:rsid w:val="00217701"/>
    <w:rsid w:val="002178B4"/>
    <w:rsid w:val="00217A46"/>
    <w:rsid w:val="00217ADA"/>
    <w:rsid w:val="00217C40"/>
    <w:rsid w:val="00217E2A"/>
    <w:rsid w:val="0022017A"/>
    <w:rsid w:val="00220706"/>
    <w:rsid w:val="0022091C"/>
    <w:rsid w:val="00220D18"/>
    <w:rsid w:val="00220E3D"/>
    <w:rsid w:val="00221065"/>
    <w:rsid w:val="00221679"/>
    <w:rsid w:val="00221C8D"/>
    <w:rsid w:val="00221EF8"/>
    <w:rsid w:val="0022231A"/>
    <w:rsid w:val="00222477"/>
    <w:rsid w:val="00222677"/>
    <w:rsid w:val="0022301A"/>
    <w:rsid w:val="00223961"/>
    <w:rsid w:val="002239FC"/>
    <w:rsid w:val="00223E41"/>
    <w:rsid w:val="00223E52"/>
    <w:rsid w:val="00223F7C"/>
    <w:rsid w:val="0022427B"/>
    <w:rsid w:val="002242EE"/>
    <w:rsid w:val="0022472C"/>
    <w:rsid w:val="00224B3E"/>
    <w:rsid w:val="00224E5C"/>
    <w:rsid w:val="00225096"/>
    <w:rsid w:val="002253D6"/>
    <w:rsid w:val="002263BF"/>
    <w:rsid w:val="002267B6"/>
    <w:rsid w:val="002269B6"/>
    <w:rsid w:val="002272AB"/>
    <w:rsid w:val="002273FF"/>
    <w:rsid w:val="002274AF"/>
    <w:rsid w:val="00227B27"/>
    <w:rsid w:val="00230434"/>
    <w:rsid w:val="00230A3B"/>
    <w:rsid w:val="00230A71"/>
    <w:rsid w:val="00230B38"/>
    <w:rsid w:val="00230FEC"/>
    <w:rsid w:val="002310A9"/>
    <w:rsid w:val="002310BC"/>
    <w:rsid w:val="002316B5"/>
    <w:rsid w:val="0023222D"/>
    <w:rsid w:val="002324E4"/>
    <w:rsid w:val="002329B9"/>
    <w:rsid w:val="00232C26"/>
    <w:rsid w:val="00233FF2"/>
    <w:rsid w:val="002340CC"/>
    <w:rsid w:val="002342F4"/>
    <w:rsid w:val="0023450F"/>
    <w:rsid w:val="00235554"/>
    <w:rsid w:val="00235D19"/>
    <w:rsid w:val="002362A3"/>
    <w:rsid w:val="0023657E"/>
    <w:rsid w:val="00237000"/>
    <w:rsid w:val="002375EF"/>
    <w:rsid w:val="00237B65"/>
    <w:rsid w:val="00237C7D"/>
    <w:rsid w:val="002402D4"/>
    <w:rsid w:val="002402F5"/>
    <w:rsid w:val="00240557"/>
    <w:rsid w:val="002407A1"/>
    <w:rsid w:val="002408E4"/>
    <w:rsid w:val="00240B23"/>
    <w:rsid w:val="00240D9C"/>
    <w:rsid w:val="00240E41"/>
    <w:rsid w:val="002411A0"/>
    <w:rsid w:val="00241364"/>
    <w:rsid w:val="0024247B"/>
    <w:rsid w:val="00242515"/>
    <w:rsid w:val="00242743"/>
    <w:rsid w:val="00243001"/>
    <w:rsid w:val="0024426A"/>
    <w:rsid w:val="002444D4"/>
    <w:rsid w:val="00244809"/>
    <w:rsid w:val="00244AEF"/>
    <w:rsid w:val="00244C2B"/>
    <w:rsid w:val="00244E27"/>
    <w:rsid w:val="00245043"/>
    <w:rsid w:val="002451C8"/>
    <w:rsid w:val="00245426"/>
    <w:rsid w:val="002457B3"/>
    <w:rsid w:val="00246317"/>
    <w:rsid w:val="0024662B"/>
    <w:rsid w:val="002466C9"/>
    <w:rsid w:val="0024708F"/>
    <w:rsid w:val="00247286"/>
    <w:rsid w:val="00247AB2"/>
    <w:rsid w:val="00247F75"/>
    <w:rsid w:val="00250448"/>
    <w:rsid w:val="0025082A"/>
    <w:rsid w:val="00250960"/>
    <w:rsid w:val="0025118A"/>
    <w:rsid w:val="00251852"/>
    <w:rsid w:val="002527F9"/>
    <w:rsid w:val="00252C45"/>
    <w:rsid w:val="00252C7F"/>
    <w:rsid w:val="00253171"/>
    <w:rsid w:val="00253485"/>
    <w:rsid w:val="00253720"/>
    <w:rsid w:val="00253758"/>
    <w:rsid w:val="0025389E"/>
    <w:rsid w:val="00253D51"/>
    <w:rsid w:val="00254CD2"/>
    <w:rsid w:val="00254EC8"/>
    <w:rsid w:val="0025566E"/>
    <w:rsid w:val="00255A97"/>
    <w:rsid w:val="00255D53"/>
    <w:rsid w:val="00255D8E"/>
    <w:rsid w:val="00255F13"/>
    <w:rsid w:val="00256550"/>
    <w:rsid w:val="00256C0A"/>
    <w:rsid w:val="00256CF6"/>
    <w:rsid w:val="002576A8"/>
    <w:rsid w:val="00257830"/>
    <w:rsid w:val="002578A6"/>
    <w:rsid w:val="00257B6D"/>
    <w:rsid w:val="00257BAE"/>
    <w:rsid w:val="00257D02"/>
    <w:rsid w:val="00257FDA"/>
    <w:rsid w:val="002603F2"/>
    <w:rsid w:val="00260765"/>
    <w:rsid w:val="002609AD"/>
    <w:rsid w:val="00261265"/>
    <w:rsid w:val="00261C26"/>
    <w:rsid w:val="0026254C"/>
    <w:rsid w:val="0026279B"/>
    <w:rsid w:val="00262CE2"/>
    <w:rsid w:val="00262F55"/>
    <w:rsid w:val="002636BA"/>
    <w:rsid w:val="0026374A"/>
    <w:rsid w:val="00263D75"/>
    <w:rsid w:val="00263F55"/>
    <w:rsid w:val="00264442"/>
    <w:rsid w:val="0026468E"/>
    <w:rsid w:val="00264C75"/>
    <w:rsid w:val="00265026"/>
    <w:rsid w:val="00266233"/>
    <w:rsid w:val="002665C0"/>
    <w:rsid w:val="002665E9"/>
    <w:rsid w:val="00266B1A"/>
    <w:rsid w:val="00266B20"/>
    <w:rsid w:val="00266FC7"/>
    <w:rsid w:val="00267056"/>
    <w:rsid w:val="002701AC"/>
    <w:rsid w:val="00270335"/>
    <w:rsid w:val="00270A82"/>
    <w:rsid w:val="00270E14"/>
    <w:rsid w:val="00271585"/>
    <w:rsid w:val="0027166C"/>
    <w:rsid w:val="00271697"/>
    <w:rsid w:val="00271E14"/>
    <w:rsid w:val="00271FA1"/>
    <w:rsid w:val="00272252"/>
    <w:rsid w:val="00273105"/>
    <w:rsid w:val="00273556"/>
    <w:rsid w:val="0027399A"/>
    <w:rsid w:val="002740A7"/>
    <w:rsid w:val="002741BD"/>
    <w:rsid w:val="00274BA0"/>
    <w:rsid w:val="00274E56"/>
    <w:rsid w:val="00275F81"/>
    <w:rsid w:val="0027616D"/>
    <w:rsid w:val="002762F6"/>
    <w:rsid w:val="00276850"/>
    <w:rsid w:val="00276B54"/>
    <w:rsid w:val="00276E8F"/>
    <w:rsid w:val="002770A0"/>
    <w:rsid w:val="002774DC"/>
    <w:rsid w:val="00277561"/>
    <w:rsid w:val="002776CC"/>
    <w:rsid w:val="00277FF1"/>
    <w:rsid w:val="0028009E"/>
    <w:rsid w:val="002800F9"/>
    <w:rsid w:val="0028048B"/>
    <w:rsid w:val="002807C7"/>
    <w:rsid w:val="00280A3B"/>
    <w:rsid w:val="00280CEF"/>
    <w:rsid w:val="0028109D"/>
    <w:rsid w:val="0028145A"/>
    <w:rsid w:val="00281708"/>
    <w:rsid w:val="002817E1"/>
    <w:rsid w:val="002819C8"/>
    <w:rsid w:val="0028236C"/>
    <w:rsid w:val="0028310B"/>
    <w:rsid w:val="00283697"/>
    <w:rsid w:val="00283FF3"/>
    <w:rsid w:val="00284308"/>
    <w:rsid w:val="0028473E"/>
    <w:rsid w:val="00284A44"/>
    <w:rsid w:val="00284C0A"/>
    <w:rsid w:val="00284C82"/>
    <w:rsid w:val="0028508B"/>
    <w:rsid w:val="0028541B"/>
    <w:rsid w:val="00285718"/>
    <w:rsid w:val="00285DBC"/>
    <w:rsid w:val="00285EB8"/>
    <w:rsid w:val="002865D9"/>
    <w:rsid w:val="00286712"/>
    <w:rsid w:val="00286F0B"/>
    <w:rsid w:val="00287DCB"/>
    <w:rsid w:val="00291912"/>
    <w:rsid w:val="00291BCB"/>
    <w:rsid w:val="00291DBB"/>
    <w:rsid w:val="00292670"/>
    <w:rsid w:val="00292A59"/>
    <w:rsid w:val="00292D10"/>
    <w:rsid w:val="00292DBE"/>
    <w:rsid w:val="00293377"/>
    <w:rsid w:val="00293B78"/>
    <w:rsid w:val="00293C45"/>
    <w:rsid w:val="00294664"/>
    <w:rsid w:val="002946F6"/>
    <w:rsid w:val="00295314"/>
    <w:rsid w:val="0029567A"/>
    <w:rsid w:val="0029569B"/>
    <w:rsid w:val="0029670D"/>
    <w:rsid w:val="0029678C"/>
    <w:rsid w:val="00296EBE"/>
    <w:rsid w:val="002976F6"/>
    <w:rsid w:val="0029789B"/>
    <w:rsid w:val="002A0FFB"/>
    <w:rsid w:val="002A1454"/>
    <w:rsid w:val="002A1ACB"/>
    <w:rsid w:val="002A20DE"/>
    <w:rsid w:val="002A3E56"/>
    <w:rsid w:val="002A3F91"/>
    <w:rsid w:val="002A425E"/>
    <w:rsid w:val="002A4290"/>
    <w:rsid w:val="002A524F"/>
    <w:rsid w:val="002A59D0"/>
    <w:rsid w:val="002A5AB3"/>
    <w:rsid w:val="002A5E63"/>
    <w:rsid w:val="002A6636"/>
    <w:rsid w:val="002A6925"/>
    <w:rsid w:val="002A76AA"/>
    <w:rsid w:val="002A7CB9"/>
    <w:rsid w:val="002A7E81"/>
    <w:rsid w:val="002A7F0F"/>
    <w:rsid w:val="002B01FB"/>
    <w:rsid w:val="002B1AA5"/>
    <w:rsid w:val="002B1CCC"/>
    <w:rsid w:val="002B1D7D"/>
    <w:rsid w:val="002B25F4"/>
    <w:rsid w:val="002B2701"/>
    <w:rsid w:val="002B31F1"/>
    <w:rsid w:val="002B327C"/>
    <w:rsid w:val="002B3468"/>
    <w:rsid w:val="002B3C0E"/>
    <w:rsid w:val="002B3CA7"/>
    <w:rsid w:val="002B4677"/>
    <w:rsid w:val="002B4CC0"/>
    <w:rsid w:val="002B539C"/>
    <w:rsid w:val="002B5A8F"/>
    <w:rsid w:val="002B6685"/>
    <w:rsid w:val="002B6C29"/>
    <w:rsid w:val="002B752A"/>
    <w:rsid w:val="002B78B9"/>
    <w:rsid w:val="002B7DA7"/>
    <w:rsid w:val="002C031C"/>
    <w:rsid w:val="002C07E7"/>
    <w:rsid w:val="002C0CCB"/>
    <w:rsid w:val="002C11CC"/>
    <w:rsid w:val="002C14F2"/>
    <w:rsid w:val="002C2834"/>
    <w:rsid w:val="002C376D"/>
    <w:rsid w:val="002C407D"/>
    <w:rsid w:val="002C40AE"/>
    <w:rsid w:val="002C4B35"/>
    <w:rsid w:val="002C4F26"/>
    <w:rsid w:val="002C582B"/>
    <w:rsid w:val="002C5A0D"/>
    <w:rsid w:val="002C5B5E"/>
    <w:rsid w:val="002C5CDC"/>
    <w:rsid w:val="002C6084"/>
    <w:rsid w:val="002C6305"/>
    <w:rsid w:val="002C646C"/>
    <w:rsid w:val="002C68A9"/>
    <w:rsid w:val="002C7187"/>
    <w:rsid w:val="002C7295"/>
    <w:rsid w:val="002C773C"/>
    <w:rsid w:val="002C77CB"/>
    <w:rsid w:val="002C78EC"/>
    <w:rsid w:val="002C7E48"/>
    <w:rsid w:val="002C7F54"/>
    <w:rsid w:val="002D0034"/>
    <w:rsid w:val="002D0ABD"/>
    <w:rsid w:val="002D0F47"/>
    <w:rsid w:val="002D120B"/>
    <w:rsid w:val="002D1340"/>
    <w:rsid w:val="002D1696"/>
    <w:rsid w:val="002D1969"/>
    <w:rsid w:val="002D1D10"/>
    <w:rsid w:val="002D1F63"/>
    <w:rsid w:val="002D2542"/>
    <w:rsid w:val="002D2DFA"/>
    <w:rsid w:val="002D3410"/>
    <w:rsid w:val="002D42A5"/>
    <w:rsid w:val="002D45C8"/>
    <w:rsid w:val="002D51B3"/>
    <w:rsid w:val="002D51DF"/>
    <w:rsid w:val="002D5601"/>
    <w:rsid w:val="002D59E0"/>
    <w:rsid w:val="002D5EF4"/>
    <w:rsid w:val="002D5F70"/>
    <w:rsid w:val="002D66CE"/>
    <w:rsid w:val="002D68AC"/>
    <w:rsid w:val="002D6BE5"/>
    <w:rsid w:val="002D6BF7"/>
    <w:rsid w:val="002D6FD9"/>
    <w:rsid w:val="002D7017"/>
    <w:rsid w:val="002D7938"/>
    <w:rsid w:val="002D79E6"/>
    <w:rsid w:val="002D7B01"/>
    <w:rsid w:val="002E03EC"/>
    <w:rsid w:val="002E0606"/>
    <w:rsid w:val="002E08C8"/>
    <w:rsid w:val="002E0AA6"/>
    <w:rsid w:val="002E0D51"/>
    <w:rsid w:val="002E1745"/>
    <w:rsid w:val="002E2656"/>
    <w:rsid w:val="002E2C0E"/>
    <w:rsid w:val="002E2E41"/>
    <w:rsid w:val="002E3297"/>
    <w:rsid w:val="002E3C35"/>
    <w:rsid w:val="002E3CF4"/>
    <w:rsid w:val="002E3F24"/>
    <w:rsid w:val="002E4894"/>
    <w:rsid w:val="002E50F8"/>
    <w:rsid w:val="002E5A98"/>
    <w:rsid w:val="002E681F"/>
    <w:rsid w:val="002E696D"/>
    <w:rsid w:val="002E69BE"/>
    <w:rsid w:val="002E6C89"/>
    <w:rsid w:val="002E6EF9"/>
    <w:rsid w:val="002E72EA"/>
    <w:rsid w:val="002E7392"/>
    <w:rsid w:val="002E7563"/>
    <w:rsid w:val="002E757D"/>
    <w:rsid w:val="002E7F8F"/>
    <w:rsid w:val="002F0101"/>
    <w:rsid w:val="002F01BF"/>
    <w:rsid w:val="002F0494"/>
    <w:rsid w:val="002F05A4"/>
    <w:rsid w:val="002F07CC"/>
    <w:rsid w:val="002F1053"/>
    <w:rsid w:val="002F1198"/>
    <w:rsid w:val="002F1399"/>
    <w:rsid w:val="002F19C8"/>
    <w:rsid w:val="002F1ADA"/>
    <w:rsid w:val="002F202A"/>
    <w:rsid w:val="002F2227"/>
    <w:rsid w:val="002F2A4E"/>
    <w:rsid w:val="002F2C81"/>
    <w:rsid w:val="002F33B6"/>
    <w:rsid w:val="002F3B02"/>
    <w:rsid w:val="002F3F3B"/>
    <w:rsid w:val="002F41CC"/>
    <w:rsid w:val="002F50BB"/>
    <w:rsid w:val="002F5624"/>
    <w:rsid w:val="002F57AF"/>
    <w:rsid w:val="002F5ECF"/>
    <w:rsid w:val="002F5F25"/>
    <w:rsid w:val="002F6189"/>
    <w:rsid w:val="002F6E67"/>
    <w:rsid w:val="002F70FC"/>
    <w:rsid w:val="002F7574"/>
    <w:rsid w:val="002F77BC"/>
    <w:rsid w:val="002F7953"/>
    <w:rsid w:val="003010D9"/>
    <w:rsid w:val="00301623"/>
    <w:rsid w:val="003026E7"/>
    <w:rsid w:val="00302A12"/>
    <w:rsid w:val="00302A3F"/>
    <w:rsid w:val="00302C03"/>
    <w:rsid w:val="003039C3"/>
    <w:rsid w:val="00303CE4"/>
    <w:rsid w:val="00303FAE"/>
    <w:rsid w:val="00304344"/>
    <w:rsid w:val="003043F3"/>
    <w:rsid w:val="00304777"/>
    <w:rsid w:val="00304A64"/>
    <w:rsid w:val="00304D13"/>
    <w:rsid w:val="00305239"/>
    <w:rsid w:val="003054CE"/>
    <w:rsid w:val="00305CBC"/>
    <w:rsid w:val="00305E08"/>
    <w:rsid w:val="00306118"/>
    <w:rsid w:val="0030660C"/>
    <w:rsid w:val="003066F6"/>
    <w:rsid w:val="00306A75"/>
    <w:rsid w:val="00307003"/>
    <w:rsid w:val="00310628"/>
    <w:rsid w:val="00310B29"/>
    <w:rsid w:val="00311C82"/>
    <w:rsid w:val="00312994"/>
    <w:rsid w:val="00312E25"/>
    <w:rsid w:val="003130BF"/>
    <w:rsid w:val="003130C2"/>
    <w:rsid w:val="00313235"/>
    <w:rsid w:val="00313BD5"/>
    <w:rsid w:val="00313CE3"/>
    <w:rsid w:val="0031418E"/>
    <w:rsid w:val="00314631"/>
    <w:rsid w:val="00315C27"/>
    <w:rsid w:val="00315DAF"/>
    <w:rsid w:val="00316AA5"/>
    <w:rsid w:val="00316CE6"/>
    <w:rsid w:val="00316D42"/>
    <w:rsid w:val="003171CD"/>
    <w:rsid w:val="00317A68"/>
    <w:rsid w:val="00317DE1"/>
    <w:rsid w:val="00320516"/>
    <w:rsid w:val="0032059B"/>
    <w:rsid w:val="00320728"/>
    <w:rsid w:val="003209B4"/>
    <w:rsid w:val="00320EDE"/>
    <w:rsid w:val="003218ED"/>
    <w:rsid w:val="00321C38"/>
    <w:rsid w:val="0032200D"/>
    <w:rsid w:val="003220B0"/>
    <w:rsid w:val="003221B6"/>
    <w:rsid w:val="00322379"/>
    <w:rsid w:val="00322594"/>
    <w:rsid w:val="00322793"/>
    <w:rsid w:val="0032295D"/>
    <w:rsid w:val="00322C10"/>
    <w:rsid w:val="00323007"/>
    <w:rsid w:val="00323122"/>
    <w:rsid w:val="00323654"/>
    <w:rsid w:val="00323B21"/>
    <w:rsid w:val="00323B3E"/>
    <w:rsid w:val="0032622C"/>
    <w:rsid w:val="00326332"/>
    <w:rsid w:val="00326D78"/>
    <w:rsid w:val="00327242"/>
    <w:rsid w:val="003273E1"/>
    <w:rsid w:val="00327936"/>
    <w:rsid w:val="003279B8"/>
    <w:rsid w:val="00327D3B"/>
    <w:rsid w:val="00327DD0"/>
    <w:rsid w:val="003307D5"/>
    <w:rsid w:val="00330D09"/>
    <w:rsid w:val="00330DC8"/>
    <w:rsid w:val="00330EE0"/>
    <w:rsid w:val="00331768"/>
    <w:rsid w:val="00332836"/>
    <w:rsid w:val="00333926"/>
    <w:rsid w:val="00333C9E"/>
    <w:rsid w:val="00333CF1"/>
    <w:rsid w:val="00333D00"/>
    <w:rsid w:val="003343F2"/>
    <w:rsid w:val="00334584"/>
    <w:rsid w:val="00334B42"/>
    <w:rsid w:val="00335380"/>
    <w:rsid w:val="0033631E"/>
    <w:rsid w:val="003366F3"/>
    <w:rsid w:val="00336AEF"/>
    <w:rsid w:val="0033729F"/>
    <w:rsid w:val="0033783B"/>
    <w:rsid w:val="00337875"/>
    <w:rsid w:val="003378BC"/>
    <w:rsid w:val="003379A1"/>
    <w:rsid w:val="00337D39"/>
    <w:rsid w:val="0034053B"/>
    <w:rsid w:val="00340624"/>
    <w:rsid w:val="003414F0"/>
    <w:rsid w:val="003416D9"/>
    <w:rsid w:val="00341843"/>
    <w:rsid w:val="00342350"/>
    <w:rsid w:val="003424BA"/>
    <w:rsid w:val="003424E5"/>
    <w:rsid w:val="00342943"/>
    <w:rsid w:val="00342A65"/>
    <w:rsid w:val="00342FC4"/>
    <w:rsid w:val="00343102"/>
    <w:rsid w:val="00343248"/>
    <w:rsid w:val="003432AB"/>
    <w:rsid w:val="00343FF6"/>
    <w:rsid w:val="00344A00"/>
    <w:rsid w:val="00344B34"/>
    <w:rsid w:val="00346872"/>
    <w:rsid w:val="00347538"/>
    <w:rsid w:val="0035070B"/>
    <w:rsid w:val="00350752"/>
    <w:rsid w:val="00350EC7"/>
    <w:rsid w:val="0035325C"/>
    <w:rsid w:val="0035406C"/>
    <w:rsid w:val="003551EF"/>
    <w:rsid w:val="0035569F"/>
    <w:rsid w:val="0035641E"/>
    <w:rsid w:val="00356C11"/>
    <w:rsid w:val="00356C51"/>
    <w:rsid w:val="00356D0B"/>
    <w:rsid w:val="00357369"/>
    <w:rsid w:val="00357594"/>
    <w:rsid w:val="00357667"/>
    <w:rsid w:val="00357714"/>
    <w:rsid w:val="003605A9"/>
    <w:rsid w:val="00360925"/>
    <w:rsid w:val="00360EFE"/>
    <w:rsid w:val="00361DA7"/>
    <w:rsid w:val="003623B9"/>
    <w:rsid w:val="003629B4"/>
    <w:rsid w:val="003632F3"/>
    <w:rsid w:val="003633C7"/>
    <w:rsid w:val="003633D3"/>
    <w:rsid w:val="003636AD"/>
    <w:rsid w:val="00363CED"/>
    <w:rsid w:val="00364FD7"/>
    <w:rsid w:val="003653D4"/>
    <w:rsid w:val="00365AC6"/>
    <w:rsid w:val="00365E8A"/>
    <w:rsid w:val="003663AA"/>
    <w:rsid w:val="0036683A"/>
    <w:rsid w:val="00366A41"/>
    <w:rsid w:val="0037018A"/>
    <w:rsid w:val="00371900"/>
    <w:rsid w:val="00371C46"/>
    <w:rsid w:val="003723EF"/>
    <w:rsid w:val="003727C7"/>
    <w:rsid w:val="00372D00"/>
    <w:rsid w:val="00373145"/>
    <w:rsid w:val="003732CF"/>
    <w:rsid w:val="00373ECE"/>
    <w:rsid w:val="003742A0"/>
    <w:rsid w:val="00374A48"/>
    <w:rsid w:val="00374F88"/>
    <w:rsid w:val="0037521E"/>
    <w:rsid w:val="00375A78"/>
    <w:rsid w:val="003760C4"/>
    <w:rsid w:val="00376250"/>
    <w:rsid w:val="0037642A"/>
    <w:rsid w:val="00376996"/>
    <w:rsid w:val="0037741D"/>
    <w:rsid w:val="0037743B"/>
    <w:rsid w:val="0037784E"/>
    <w:rsid w:val="0038023D"/>
    <w:rsid w:val="003805BC"/>
    <w:rsid w:val="00380623"/>
    <w:rsid w:val="00380FDB"/>
    <w:rsid w:val="00380FFD"/>
    <w:rsid w:val="00381A09"/>
    <w:rsid w:val="00381C40"/>
    <w:rsid w:val="003825F2"/>
    <w:rsid w:val="00383161"/>
    <w:rsid w:val="00383735"/>
    <w:rsid w:val="00383A2C"/>
    <w:rsid w:val="0038478C"/>
    <w:rsid w:val="00385A30"/>
    <w:rsid w:val="00385AFD"/>
    <w:rsid w:val="00386215"/>
    <w:rsid w:val="003864B6"/>
    <w:rsid w:val="00386B5B"/>
    <w:rsid w:val="0038735A"/>
    <w:rsid w:val="00387B7C"/>
    <w:rsid w:val="00387DEF"/>
    <w:rsid w:val="00387E1D"/>
    <w:rsid w:val="0039028D"/>
    <w:rsid w:val="003906D8"/>
    <w:rsid w:val="0039114F"/>
    <w:rsid w:val="00391D8B"/>
    <w:rsid w:val="0039236F"/>
    <w:rsid w:val="003925C4"/>
    <w:rsid w:val="00392800"/>
    <w:rsid w:val="00392B9D"/>
    <w:rsid w:val="00392C71"/>
    <w:rsid w:val="00392F83"/>
    <w:rsid w:val="003930FD"/>
    <w:rsid w:val="003934D8"/>
    <w:rsid w:val="003938F0"/>
    <w:rsid w:val="00393AD7"/>
    <w:rsid w:val="0039434B"/>
    <w:rsid w:val="0039474E"/>
    <w:rsid w:val="00394A42"/>
    <w:rsid w:val="00395297"/>
    <w:rsid w:val="003953EF"/>
    <w:rsid w:val="003955EA"/>
    <w:rsid w:val="00395A1A"/>
    <w:rsid w:val="0039636F"/>
    <w:rsid w:val="003964DC"/>
    <w:rsid w:val="003964F2"/>
    <w:rsid w:val="00397A16"/>
    <w:rsid w:val="00397E01"/>
    <w:rsid w:val="00397FE0"/>
    <w:rsid w:val="003A0354"/>
    <w:rsid w:val="003A0ACF"/>
    <w:rsid w:val="003A0F8B"/>
    <w:rsid w:val="003A1011"/>
    <w:rsid w:val="003A2871"/>
    <w:rsid w:val="003A2AB4"/>
    <w:rsid w:val="003A2F79"/>
    <w:rsid w:val="003A345A"/>
    <w:rsid w:val="003A384A"/>
    <w:rsid w:val="003A38FC"/>
    <w:rsid w:val="003A3968"/>
    <w:rsid w:val="003A41E8"/>
    <w:rsid w:val="003A4241"/>
    <w:rsid w:val="003A434D"/>
    <w:rsid w:val="003A6148"/>
    <w:rsid w:val="003A6696"/>
    <w:rsid w:val="003A6BA4"/>
    <w:rsid w:val="003A7385"/>
    <w:rsid w:val="003A73FF"/>
    <w:rsid w:val="003A79BB"/>
    <w:rsid w:val="003A7EE3"/>
    <w:rsid w:val="003B0322"/>
    <w:rsid w:val="003B0384"/>
    <w:rsid w:val="003B150D"/>
    <w:rsid w:val="003B18BF"/>
    <w:rsid w:val="003B1EEA"/>
    <w:rsid w:val="003B2580"/>
    <w:rsid w:val="003B2902"/>
    <w:rsid w:val="003B31A5"/>
    <w:rsid w:val="003B3418"/>
    <w:rsid w:val="003B36BF"/>
    <w:rsid w:val="003B3A2A"/>
    <w:rsid w:val="003B4A57"/>
    <w:rsid w:val="003B4D7A"/>
    <w:rsid w:val="003B4F5A"/>
    <w:rsid w:val="003B519C"/>
    <w:rsid w:val="003B6C9A"/>
    <w:rsid w:val="003B6E04"/>
    <w:rsid w:val="003B6ECA"/>
    <w:rsid w:val="003B7BB1"/>
    <w:rsid w:val="003C02D2"/>
    <w:rsid w:val="003C0DA6"/>
    <w:rsid w:val="003C10A6"/>
    <w:rsid w:val="003C11A1"/>
    <w:rsid w:val="003C1381"/>
    <w:rsid w:val="003C1664"/>
    <w:rsid w:val="003C218A"/>
    <w:rsid w:val="003C2638"/>
    <w:rsid w:val="003C2DB1"/>
    <w:rsid w:val="003C335F"/>
    <w:rsid w:val="003C3FB5"/>
    <w:rsid w:val="003C41B4"/>
    <w:rsid w:val="003C43E3"/>
    <w:rsid w:val="003C480F"/>
    <w:rsid w:val="003C4B6F"/>
    <w:rsid w:val="003C64E3"/>
    <w:rsid w:val="003C653A"/>
    <w:rsid w:val="003C7EF0"/>
    <w:rsid w:val="003D00E2"/>
    <w:rsid w:val="003D01EE"/>
    <w:rsid w:val="003D08F2"/>
    <w:rsid w:val="003D0E4B"/>
    <w:rsid w:val="003D1623"/>
    <w:rsid w:val="003D1681"/>
    <w:rsid w:val="003D2760"/>
    <w:rsid w:val="003D2814"/>
    <w:rsid w:val="003D3C07"/>
    <w:rsid w:val="003D3D42"/>
    <w:rsid w:val="003D402C"/>
    <w:rsid w:val="003D44D2"/>
    <w:rsid w:val="003D4537"/>
    <w:rsid w:val="003D499C"/>
    <w:rsid w:val="003D4CAC"/>
    <w:rsid w:val="003D4DDC"/>
    <w:rsid w:val="003D50EF"/>
    <w:rsid w:val="003D5F04"/>
    <w:rsid w:val="003D6376"/>
    <w:rsid w:val="003D65DB"/>
    <w:rsid w:val="003D6CB8"/>
    <w:rsid w:val="003E04ED"/>
    <w:rsid w:val="003E0BAD"/>
    <w:rsid w:val="003E0D32"/>
    <w:rsid w:val="003E0E73"/>
    <w:rsid w:val="003E1070"/>
    <w:rsid w:val="003E10AD"/>
    <w:rsid w:val="003E2556"/>
    <w:rsid w:val="003E2750"/>
    <w:rsid w:val="003E383A"/>
    <w:rsid w:val="003E3989"/>
    <w:rsid w:val="003E3DFD"/>
    <w:rsid w:val="003E4FE3"/>
    <w:rsid w:val="003E5418"/>
    <w:rsid w:val="003E582E"/>
    <w:rsid w:val="003E5953"/>
    <w:rsid w:val="003E5C28"/>
    <w:rsid w:val="003E5E12"/>
    <w:rsid w:val="003E60AF"/>
    <w:rsid w:val="003E70CA"/>
    <w:rsid w:val="003E76DB"/>
    <w:rsid w:val="003F02B4"/>
    <w:rsid w:val="003F051E"/>
    <w:rsid w:val="003F0611"/>
    <w:rsid w:val="003F062D"/>
    <w:rsid w:val="003F0F1C"/>
    <w:rsid w:val="003F113E"/>
    <w:rsid w:val="003F1A3A"/>
    <w:rsid w:val="003F2819"/>
    <w:rsid w:val="003F29A2"/>
    <w:rsid w:val="003F3085"/>
    <w:rsid w:val="003F3168"/>
    <w:rsid w:val="003F40E9"/>
    <w:rsid w:val="003F4457"/>
    <w:rsid w:val="003F5280"/>
    <w:rsid w:val="003F5430"/>
    <w:rsid w:val="003F5466"/>
    <w:rsid w:val="003F54D0"/>
    <w:rsid w:val="003F5619"/>
    <w:rsid w:val="003F60B7"/>
    <w:rsid w:val="003F618A"/>
    <w:rsid w:val="003F6749"/>
    <w:rsid w:val="003F6764"/>
    <w:rsid w:val="003F6A75"/>
    <w:rsid w:val="003F7459"/>
    <w:rsid w:val="003F75AB"/>
    <w:rsid w:val="003F7B2F"/>
    <w:rsid w:val="003F7EA0"/>
    <w:rsid w:val="004006F8"/>
    <w:rsid w:val="0040083F"/>
    <w:rsid w:val="00400934"/>
    <w:rsid w:val="00400AFF"/>
    <w:rsid w:val="00401518"/>
    <w:rsid w:val="00402121"/>
    <w:rsid w:val="00402253"/>
    <w:rsid w:val="00402DBB"/>
    <w:rsid w:val="0040363E"/>
    <w:rsid w:val="00403CE5"/>
    <w:rsid w:val="0040402F"/>
    <w:rsid w:val="004042EE"/>
    <w:rsid w:val="00404AB9"/>
    <w:rsid w:val="0040518B"/>
    <w:rsid w:val="0040584F"/>
    <w:rsid w:val="0040621C"/>
    <w:rsid w:val="004068D7"/>
    <w:rsid w:val="00406C13"/>
    <w:rsid w:val="00407007"/>
    <w:rsid w:val="00407772"/>
    <w:rsid w:val="00407C0E"/>
    <w:rsid w:val="00407F51"/>
    <w:rsid w:val="004108D8"/>
    <w:rsid w:val="004110F4"/>
    <w:rsid w:val="004119C8"/>
    <w:rsid w:val="00412472"/>
    <w:rsid w:val="004124A1"/>
    <w:rsid w:val="0041372D"/>
    <w:rsid w:val="00413BDE"/>
    <w:rsid w:val="00415158"/>
    <w:rsid w:val="00415191"/>
    <w:rsid w:val="00415998"/>
    <w:rsid w:val="00415A10"/>
    <w:rsid w:val="00415C96"/>
    <w:rsid w:val="004160A9"/>
    <w:rsid w:val="004162D8"/>
    <w:rsid w:val="0041646A"/>
    <w:rsid w:val="004167F6"/>
    <w:rsid w:val="00416AC8"/>
    <w:rsid w:val="00416B1A"/>
    <w:rsid w:val="00417357"/>
    <w:rsid w:val="00417649"/>
    <w:rsid w:val="004178B2"/>
    <w:rsid w:val="00417A02"/>
    <w:rsid w:val="0042039B"/>
    <w:rsid w:val="004207C9"/>
    <w:rsid w:val="00420D41"/>
    <w:rsid w:val="00421355"/>
    <w:rsid w:val="004217B6"/>
    <w:rsid w:val="00421CDC"/>
    <w:rsid w:val="00422D17"/>
    <w:rsid w:val="00422DA1"/>
    <w:rsid w:val="00422F5E"/>
    <w:rsid w:val="00423017"/>
    <w:rsid w:val="004236D5"/>
    <w:rsid w:val="00423BAA"/>
    <w:rsid w:val="00423E6E"/>
    <w:rsid w:val="0042406C"/>
    <w:rsid w:val="004241B6"/>
    <w:rsid w:val="004258CF"/>
    <w:rsid w:val="00425E73"/>
    <w:rsid w:val="004264B6"/>
    <w:rsid w:val="00427CE9"/>
    <w:rsid w:val="0043149A"/>
    <w:rsid w:val="0043188C"/>
    <w:rsid w:val="00431993"/>
    <w:rsid w:val="00431C24"/>
    <w:rsid w:val="00431DFD"/>
    <w:rsid w:val="00431EE4"/>
    <w:rsid w:val="00433109"/>
    <w:rsid w:val="00433C4B"/>
    <w:rsid w:val="00433C96"/>
    <w:rsid w:val="00433E6B"/>
    <w:rsid w:val="00434198"/>
    <w:rsid w:val="004341F4"/>
    <w:rsid w:val="004343B0"/>
    <w:rsid w:val="0043467B"/>
    <w:rsid w:val="00435104"/>
    <w:rsid w:val="004352F1"/>
    <w:rsid w:val="00435972"/>
    <w:rsid w:val="00435EDF"/>
    <w:rsid w:val="004365D9"/>
    <w:rsid w:val="004372E9"/>
    <w:rsid w:val="00437546"/>
    <w:rsid w:val="00437620"/>
    <w:rsid w:val="004376A7"/>
    <w:rsid w:val="00437790"/>
    <w:rsid w:val="004405DD"/>
    <w:rsid w:val="00440B4F"/>
    <w:rsid w:val="0044100E"/>
    <w:rsid w:val="004410CA"/>
    <w:rsid w:val="00441B2E"/>
    <w:rsid w:val="0044251C"/>
    <w:rsid w:val="004428F3"/>
    <w:rsid w:val="0044293F"/>
    <w:rsid w:val="004431C2"/>
    <w:rsid w:val="00443773"/>
    <w:rsid w:val="00445145"/>
    <w:rsid w:val="00445C5A"/>
    <w:rsid w:val="004460FF"/>
    <w:rsid w:val="0044723B"/>
    <w:rsid w:val="00447765"/>
    <w:rsid w:val="00447C24"/>
    <w:rsid w:val="00447D01"/>
    <w:rsid w:val="004501F6"/>
    <w:rsid w:val="00450453"/>
    <w:rsid w:val="00450CF2"/>
    <w:rsid w:val="0045162F"/>
    <w:rsid w:val="00451985"/>
    <w:rsid w:val="00451F7B"/>
    <w:rsid w:val="004523B2"/>
    <w:rsid w:val="00452639"/>
    <w:rsid w:val="00453428"/>
    <w:rsid w:val="00453BB7"/>
    <w:rsid w:val="00453E40"/>
    <w:rsid w:val="004555DA"/>
    <w:rsid w:val="00455715"/>
    <w:rsid w:val="0045581A"/>
    <w:rsid w:val="0045720D"/>
    <w:rsid w:val="004572F1"/>
    <w:rsid w:val="00457BB1"/>
    <w:rsid w:val="00457DC6"/>
    <w:rsid w:val="004603E4"/>
    <w:rsid w:val="004604EC"/>
    <w:rsid w:val="00460E8D"/>
    <w:rsid w:val="00460F70"/>
    <w:rsid w:val="00461105"/>
    <w:rsid w:val="00461175"/>
    <w:rsid w:val="00461235"/>
    <w:rsid w:val="00461519"/>
    <w:rsid w:val="00461D37"/>
    <w:rsid w:val="00461FD5"/>
    <w:rsid w:val="00462502"/>
    <w:rsid w:val="00462F5E"/>
    <w:rsid w:val="00463109"/>
    <w:rsid w:val="00463775"/>
    <w:rsid w:val="00463954"/>
    <w:rsid w:val="00463CA0"/>
    <w:rsid w:val="00463E15"/>
    <w:rsid w:val="004641BD"/>
    <w:rsid w:val="004642D7"/>
    <w:rsid w:val="0046580A"/>
    <w:rsid w:val="00465D33"/>
    <w:rsid w:val="00466856"/>
    <w:rsid w:val="0046695B"/>
    <w:rsid w:val="00466EFC"/>
    <w:rsid w:val="00467014"/>
    <w:rsid w:val="00467812"/>
    <w:rsid w:val="00471F7C"/>
    <w:rsid w:val="00472275"/>
    <w:rsid w:val="00472787"/>
    <w:rsid w:val="00472900"/>
    <w:rsid w:val="00472E46"/>
    <w:rsid w:val="00473084"/>
    <w:rsid w:val="0047341D"/>
    <w:rsid w:val="00473BA7"/>
    <w:rsid w:val="00473CAA"/>
    <w:rsid w:val="0047442C"/>
    <w:rsid w:val="00474974"/>
    <w:rsid w:val="00474B34"/>
    <w:rsid w:val="00475126"/>
    <w:rsid w:val="00475C76"/>
    <w:rsid w:val="0047688E"/>
    <w:rsid w:val="0047751C"/>
    <w:rsid w:val="004775A3"/>
    <w:rsid w:val="00477E49"/>
    <w:rsid w:val="004802D9"/>
    <w:rsid w:val="00480507"/>
    <w:rsid w:val="0048053F"/>
    <w:rsid w:val="0048095F"/>
    <w:rsid w:val="00480F13"/>
    <w:rsid w:val="00481249"/>
    <w:rsid w:val="00481A96"/>
    <w:rsid w:val="00481D5C"/>
    <w:rsid w:val="00482AA1"/>
    <w:rsid w:val="00482AF4"/>
    <w:rsid w:val="00482CB4"/>
    <w:rsid w:val="0048311D"/>
    <w:rsid w:val="004837CE"/>
    <w:rsid w:val="004849ED"/>
    <w:rsid w:val="00485120"/>
    <w:rsid w:val="004852D5"/>
    <w:rsid w:val="0048541C"/>
    <w:rsid w:val="004857E0"/>
    <w:rsid w:val="004858B6"/>
    <w:rsid w:val="00485F9D"/>
    <w:rsid w:val="004860A7"/>
    <w:rsid w:val="0048630B"/>
    <w:rsid w:val="004864E1"/>
    <w:rsid w:val="00486D5A"/>
    <w:rsid w:val="00486D64"/>
    <w:rsid w:val="00487051"/>
    <w:rsid w:val="004874C7"/>
    <w:rsid w:val="0048755A"/>
    <w:rsid w:val="00487879"/>
    <w:rsid w:val="00487C38"/>
    <w:rsid w:val="00490610"/>
    <w:rsid w:val="00490643"/>
    <w:rsid w:val="004908C7"/>
    <w:rsid w:val="00491182"/>
    <w:rsid w:val="004912A2"/>
    <w:rsid w:val="00491311"/>
    <w:rsid w:val="0049175B"/>
    <w:rsid w:val="00491929"/>
    <w:rsid w:val="00491D33"/>
    <w:rsid w:val="00492B89"/>
    <w:rsid w:val="00493BBF"/>
    <w:rsid w:val="00493CF1"/>
    <w:rsid w:val="00493F74"/>
    <w:rsid w:val="004944CA"/>
    <w:rsid w:val="00495508"/>
    <w:rsid w:val="00495640"/>
    <w:rsid w:val="004956BE"/>
    <w:rsid w:val="00495886"/>
    <w:rsid w:val="0049593E"/>
    <w:rsid w:val="00496ACE"/>
    <w:rsid w:val="00496FEE"/>
    <w:rsid w:val="004973E8"/>
    <w:rsid w:val="00497657"/>
    <w:rsid w:val="00497B78"/>
    <w:rsid w:val="00497C29"/>
    <w:rsid w:val="004A019D"/>
    <w:rsid w:val="004A05A8"/>
    <w:rsid w:val="004A0B51"/>
    <w:rsid w:val="004A0CE1"/>
    <w:rsid w:val="004A13BB"/>
    <w:rsid w:val="004A18DD"/>
    <w:rsid w:val="004A1B85"/>
    <w:rsid w:val="004A1CC6"/>
    <w:rsid w:val="004A26CE"/>
    <w:rsid w:val="004A2ACB"/>
    <w:rsid w:val="004A3402"/>
    <w:rsid w:val="004A3437"/>
    <w:rsid w:val="004A37A2"/>
    <w:rsid w:val="004A3B32"/>
    <w:rsid w:val="004A438B"/>
    <w:rsid w:val="004A539E"/>
    <w:rsid w:val="004A5660"/>
    <w:rsid w:val="004A5DE8"/>
    <w:rsid w:val="004A6C27"/>
    <w:rsid w:val="004A6E55"/>
    <w:rsid w:val="004A7221"/>
    <w:rsid w:val="004A798F"/>
    <w:rsid w:val="004A7C73"/>
    <w:rsid w:val="004A7CC0"/>
    <w:rsid w:val="004B00A2"/>
    <w:rsid w:val="004B0E20"/>
    <w:rsid w:val="004B1D19"/>
    <w:rsid w:val="004B1F8D"/>
    <w:rsid w:val="004B20AC"/>
    <w:rsid w:val="004B233E"/>
    <w:rsid w:val="004B3167"/>
    <w:rsid w:val="004B36A9"/>
    <w:rsid w:val="004B4326"/>
    <w:rsid w:val="004B45B2"/>
    <w:rsid w:val="004B5820"/>
    <w:rsid w:val="004B678C"/>
    <w:rsid w:val="004B6F0A"/>
    <w:rsid w:val="004B74CA"/>
    <w:rsid w:val="004B74E7"/>
    <w:rsid w:val="004B77D4"/>
    <w:rsid w:val="004B786D"/>
    <w:rsid w:val="004B7DA2"/>
    <w:rsid w:val="004C0028"/>
    <w:rsid w:val="004C0099"/>
    <w:rsid w:val="004C0D4D"/>
    <w:rsid w:val="004C109F"/>
    <w:rsid w:val="004C1357"/>
    <w:rsid w:val="004C1395"/>
    <w:rsid w:val="004C1430"/>
    <w:rsid w:val="004C172C"/>
    <w:rsid w:val="004C1E18"/>
    <w:rsid w:val="004C1E3B"/>
    <w:rsid w:val="004C1EAE"/>
    <w:rsid w:val="004C1F2F"/>
    <w:rsid w:val="004C2545"/>
    <w:rsid w:val="004C255D"/>
    <w:rsid w:val="004C3099"/>
    <w:rsid w:val="004C393D"/>
    <w:rsid w:val="004C3ACE"/>
    <w:rsid w:val="004C43D3"/>
    <w:rsid w:val="004C4813"/>
    <w:rsid w:val="004C4865"/>
    <w:rsid w:val="004C4F08"/>
    <w:rsid w:val="004C5A2E"/>
    <w:rsid w:val="004C5C83"/>
    <w:rsid w:val="004C5D5E"/>
    <w:rsid w:val="004C60E4"/>
    <w:rsid w:val="004C630D"/>
    <w:rsid w:val="004C6314"/>
    <w:rsid w:val="004C65D2"/>
    <w:rsid w:val="004C704F"/>
    <w:rsid w:val="004C7117"/>
    <w:rsid w:val="004C71E2"/>
    <w:rsid w:val="004C7B38"/>
    <w:rsid w:val="004D026B"/>
    <w:rsid w:val="004D04BC"/>
    <w:rsid w:val="004D0D83"/>
    <w:rsid w:val="004D1548"/>
    <w:rsid w:val="004D1DC3"/>
    <w:rsid w:val="004D21E6"/>
    <w:rsid w:val="004D3204"/>
    <w:rsid w:val="004D3889"/>
    <w:rsid w:val="004D3C06"/>
    <w:rsid w:val="004D3DCD"/>
    <w:rsid w:val="004D4675"/>
    <w:rsid w:val="004D4697"/>
    <w:rsid w:val="004D4A35"/>
    <w:rsid w:val="004D4ED4"/>
    <w:rsid w:val="004D4F1C"/>
    <w:rsid w:val="004D520D"/>
    <w:rsid w:val="004D54FB"/>
    <w:rsid w:val="004D591C"/>
    <w:rsid w:val="004D5DDF"/>
    <w:rsid w:val="004D65DF"/>
    <w:rsid w:val="004D6B48"/>
    <w:rsid w:val="004D6C9F"/>
    <w:rsid w:val="004D7802"/>
    <w:rsid w:val="004D7826"/>
    <w:rsid w:val="004D7934"/>
    <w:rsid w:val="004E07F9"/>
    <w:rsid w:val="004E0B89"/>
    <w:rsid w:val="004E0F82"/>
    <w:rsid w:val="004E1B08"/>
    <w:rsid w:val="004E1B7F"/>
    <w:rsid w:val="004E1C9D"/>
    <w:rsid w:val="004E2143"/>
    <w:rsid w:val="004E3E13"/>
    <w:rsid w:val="004E43B0"/>
    <w:rsid w:val="004E4B27"/>
    <w:rsid w:val="004E4C77"/>
    <w:rsid w:val="004E517B"/>
    <w:rsid w:val="004E5468"/>
    <w:rsid w:val="004E5C40"/>
    <w:rsid w:val="004E5D08"/>
    <w:rsid w:val="004E6507"/>
    <w:rsid w:val="004E6CDF"/>
    <w:rsid w:val="004E6CF4"/>
    <w:rsid w:val="004E7930"/>
    <w:rsid w:val="004E7AAD"/>
    <w:rsid w:val="004F01FA"/>
    <w:rsid w:val="004F0A90"/>
    <w:rsid w:val="004F2181"/>
    <w:rsid w:val="004F2910"/>
    <w:rsid w:val="004F2A72"/>
    <w:rsid w:val="004F2A79"/>
    <w:rsid w:val="004F2CA6"/>
    <w:rsid w:val="004F3FE5"/>
    <w:rsid w:val="004F4354"/>
    <w:rsid w:val="004F4B54"/>
    <w:rsid w:val="004F4C3B"/>
    <w:rsid w:val="004F4D26"/>
    <w:rsid w:val="004F4FC6"/>
    <w:rsid w:val="004F522A"/>
    <w:rsid w:val="004F5594"/>
    <w:rsid w:val="004F58CE"/>
    <w:rsid w:val="004F5B5C"/>
    <w:rsid w:val="004F5C53"/>
    <w:rsid w:val="004F674B"/>
    <w:rsid w:val="004F6AF6"/>
    <w:rsid w:val="004F6E2F"/>
    <w:rsid w:val="004F6F68"/>
    <w:rsid w:val="004F78C6"/>
    <w:rsid w:val="004F7BF8"/>
    <w:rsid w:val="004F7C73"/>
    <w:rsid w:val="005003E9"/>
    <w:rsid w:val="0050048C"/>
    <w:rsid w:val="00500955"/>
    <w:rsid w:val="00500C5E"/>
    <w:rsid w:val="00501899"/>
    <w:rsid w:val="005018A2"/>
    <w:rsid w:val="00502580"/>
    <w:rsid w:val="005030E0"/>
    <w:rsid w:val="005035CB"/>
    <w:rsid w:val="00503609"/>
    <w:rsid w:val="005038FD"/>
    <w:rsid w:val="00503E92"/>
    <w:rsid w:val="005047C4"/>
    <w:rsid w:val="00504A77"/>
    <w:rsid w:val="00504C15"/>
    <w:rsid w:val="00504CDF"/>
    <w:rsid w:val="005056EB"/>
    <w:rsid w:val="00505E6F"/>
    <w:rsid w:val="00505EEA"/>
    <w:rsid w:val="00506EFD"/>
    <w:rsid w:val="005074B7"/>
    <w:rsid w:val="0050790B"/>
    <w:rsid w:val="005104A3"/>
    <w:rsid w:val="00510A82"/>
    <w:rsid w:val="005114E7"/>
    <w:rsid w:val="00511E02"/>
    <w:rsid w:val="00511F05"/>
    <w:rsid w:val="00511F94"/>
    <w:rsid w:val="00512A4C"/>
    <w:rsid w:val="00512B79"/>
    <w:rsid w:val="00512BD6"/>
    <w:rsid w:val="00513579"/>
    <w:rsid w:val="00513701"/>
    <w:rsid w:val="005137B7"/>
    <w:rsid w:val="00513EDB"/>
    <w:rsid w:val="00513F48"/>
    <w:rsid w:val="00514221"/>
    <w:rsid w:val="00514345"/>
    <w:rsid w:val="0051445C"/>
    <w:rsid w:val="00514A2B"/>
    <w:rsid w:val="0051507B"/>
    <w:rsid w:val="00515585"/>
    <w:rsid w:val="0051578E"/>
    <w:rsid w:val="00515EB8"/>
    <w:rsid w:val="00515F48"/>
    <w:rsid w:val="005160B3"/>
    <w:rsid w:val="00516141"/>
    <w:rsid w:val="00516941"/>
    <w:rsid w:val="00516A06"/>
    <w:rsid w:val="005174CA"/>
    <w:rsid w:val="005175E1"/>
    <w:rsid w:val="00517F7D"/>
    <w:rsid w:val="00520864"/>
    <w:rsid w:val="00520E03"/>
    <w:rsid w:val="005211F9"/>
    <w:rsid w:val="00521201"/>
    <w:rsid w:val="00522E25"/>
    <w:rsid w:val="00523179"/>
    <w:rsid w:val="00523537"/>
    <w:rsid w:val="00523B90"/>
    <w:rsid w:val="0052475D"/>
    <w:rsid w:val="0052550E"/>
    <w:rsid w:val="00526385"/>
    <w:rsid w:val="00526E84"/>
    <w:rsid w:val="0052743A"/>
    <w:rsid w:val="005278FB"/>
    <w:rsid w:val="0052790D"/>
    <w:rsid w:val="00530436"/>
    <w:rsid w:val="0053122B"/>
    <w:rsid w:val="0053194F"/>
    <w:rsid w:val="00533623"/>
    <w:rsid w:val="00533BA4"/>
    <w:rsid w:val="005354C0"/>
    <w:rsid w:val="00535515"/>
    <w:rsid w:val="005356A8"/>
    <w:rsid w:val="00535CA3"/>
    <w:rsid w:val="00536D6F"/>
    <w:rsid w:val="00536F57"/>
    <w:rsid w:val="0053746E"/>
    <w:rsid w:val="00537728"/>
    <w:rsid w:val="00537894"/>
    <w:rsid w:val="00540410"/>
    <w:rsid w:val="00540716"/>
    <w:rsid w:val="00541D5C"/>
    <w:rsid w:val="00542152"/>
    <w:rsid w:val="005421C3"/>
    <w:rsid w:val="00542F08"/>
    <w:rsid w:val="0054315A"/>
    <w:rsid w:val="0054359A"/>
    <w:rsid w:val="0054374D"/>
    <w:rsid w:val="00543E6C"/>
    <w:rsid w:val="005440C0"/>
    <w:rsid w:val="00544596"/>
    <w:rsid w:val="005445D8"/>
    <w:rsid w:val="0054485D"/>
    <w:rsid w:val="00544980"/>
    <w:rsid w:val="00544A72"/>
    <w:rsid w:val="00544AE3"/>
    <w:rsid w:val="00544DDC"/>
    <w:rsid w:val="00545048"/>
    <w:rsid w:val="0054509F"/>
    <w:rsid w:val="005453AF"/>
    <w:rsid w:val="0054543F"/>
    <w:rsid w:val="00545947"/>
    <w:rsid w:val="00545B18"/>
    <w:rsid w:val="00545E48"/>
    <w:rsid w:val="005462D5"/>
    <w:rsid w:val="0054677A"/>
    <w:rsid w:val="00546CD0"/>
    <w:rsid w:val="005475D5"/>
    <w:rsid w:val="0054764F"/>
    <w:rsid w:val="00547A97"/>
    <w:rsid w:val="0055004B"/>
    <w:rsid w:val="005502FB"/>
    <w:rsid w:val="00550A23"/>
    <w:rsid w:val="00550FEA"/>
    <w:rsid w:val="0055198E"/>
    <w:rsid w:val="005521FF"/>
    <w:rsid w:val="005522BE"/>
    <w:rsid w:val="005522CA"/>
    <w:rsid w:val="00552BAB"/>
    <w:rsid w:val="00553114"/>
    <w:rsid w:val="005537B3"/>
    <w:rsid w:val="005537E1"/>
    <w:rsid w:val="00553AF5"/>
    <w:rsid w:val="00553C69"/>
    <w:rsid w:val="0055455F"/>
    <w:rsid w:val="005550C6"/>
    <w:rsid w:val="005551FD"/>
    <w:rsid w:val="00555281"/>
    <w:rsid w:val="005555CE"/>
    <w:rsid w:val="00555790"/>
    <w:rsid w:val="00555AFC"/>
    <w:rsid w:val="00555BE5"/>
    <w:rsid w:val="00555C10"/>
    <w:rsid w:val="00555C80"/>
    <w:rsid w:val="0055609F"/>
    <w:rsid w:val="0055623C"/>
    <w:rsid w:val="005566DE"/>
    <w:rsid w:val="00556737"/>
    <w:rsid w:val="00556CFC"/>
    <w:rsid w:val="00556D67"/>
    <w:rsid w:val="00556EBF"/>
    <w:rsid w:val="005606AF"/>
    <w:rsid w:val="00560A2F"/>
    <w:rsid w:val="00560DBB"/>
    <w:rsid w:val="00560F92"/>
    <w:rsid w:val="005613D1"/>
    <w:rsid w:val="00561A5C"/>
    <w:rsid w:val="00561C33"/>
    <w:rsid w:val="0056313A"/>
    <w:rsid w:val="005632C2"/>
    <w:rsid w:val="005639F0"/>
    <w:rsid w:val="00563B51"/>
    <w:rsid w:val="005641A3"/>
    <w:rsid w:val="00564495"/>
    <w:rsid w:val="00564AEF"/>
    <w:rsid w:val="00564B2B"/>
    <w:rsid w:val="00564BDD"/>
    <w:rsid w:val="00564C0C"/>
    <w:rsid w:val="00564C9C"/>
    <w:rsid w:val="00565558"/>
    <w:rsid w:val="00566148"/>
    <w:rsid w:val="00566185"/>
    <w:rsid w:val="0056650C"/>
    <w:rsid w:val="00566B7C"/>
    <w:rsid w:val="00567811"/>
    <w:rsid w:val="00567871"/>
    <w:rsid w:val="00567F4B"/>
    <w:rsid w:val="00570742"/>
    <w:rsid w:val="00570BCD"/>
    <w:rsid w:val="00570C1C"/>
    <w:rsid w:val="005712C1"/>
    <w:rsid w:val="005714AF"/>
    <w:rsid w:val="00571EAC"/>
    <w:rsid w:val="005720B1"/>
    <w:rsid w:val="00572D04"/>
    <w:rsid w:val="00572D71"/>
    <w:rsid w:val="00573050"/>
    <w:rsid w:val="0057323C"/>
    <w:rsid w:val="00573382"/>
    <w:rsid w:val="005737F7"/>
    <w:rsid w:val="00574588"/>
    <w:rsid w:val="005756F4"/>
    <w:rsid w:val="00575AFC"/>
    <w:rsid w:val="005764CF"/>
    <w:rsid w:val="0057675F"/>
    <w:rsid w:val="00576F1D"/>
    <w:rsid w:val="00580082"/>
    <w:rsid w:val="005800D8"/>
    <w:rsid w:val="00580936"/>
    <w:rsid w:val="00580CC2"/>
    <w:rsid w:val="00580ED9"/>
    <w:rsid w:val="00581042"/>
    <w:rsid w:val="005815A8"/>
    <w:rsid w:val="00581FF3"/>
    <w:rsid w:val="005825B3"/>
    <w:rsid w:val="00582989"/>
    <w:rsid w:val="00582FB0"/>
    <w:rsid w:val="005831E9"/>
    <w:rsid w:val="00583318"/>
    <w:rsid w:val="00583C1B"/>
    <w:rsid w:val="0058406A"/>
    <w:rsid w:val="00584F78"/>
    <w:rsid w:val="00585366"/>
    <w:rsid w:val="005853F0"/>
    <w:rsid w:val="005856A8"/>
    <w:rsid w:val="00585804"/>
    <w:rsid w:val="0058764D"/>
    <w:rsid w:val="00587917"/>
    <w:rsid w:val="0059013B"/>
    <w:rsid w:val="0059037D"/>
    <w:rsid w:val="005907E0"/>
    <w:rsid w:val="00590AFC"/>
    <w:rsid w:val="00590CE6"/>
    <w:rsid w:val="0059136F"/>
    <w:rsid w:val="00591BEB"/>
    <w:rsid w:val="005921DF"/>
    <w:rsid w:val="00592B26"/>
    <w:rsid w:val="00592DD8"/>
    <w:rsid w:val="005931CD"/>
    <w:rsid w:val="00593748"/>
    <w:rsid w:val="00594932"/>
    <w:rsid w:val="00595FD8"/>
    <w:rsid w:val="005964DE"/>
    <w:rsid w:val="00596836"/>
    <w:rsid w:val="00597478"/>
    <w:rsid w:val="00597D3C"/>
    <w:rsid w:val="00597FA9"/>
    <w:rsid w:val="005A028F"/>
    <w:rsid w:val="005A0EAB"/>
    <w:rsid w:val="005A19DC"/>
    <w:rsid w:val="005A1BB8"/>
    <w:rsid w:val="005A1F88"/>
    <w:rsid w:val="005A251E"/>
    <w:rsid w:val="005A2C63"/>
    <w:rsid w:val="005A3206"/>
    <w:rsid w:val="005A33DF"/>
    <w:rsid w:val="005A37BE"/>
    <w:rsid w:val="005A3975"/>
    <w:rsid w:val="005A3994"/>
    <w:rsid w:val="005A432B"/>
    <w:rsid w:val="005A4944"/>
    <w:rsid w:val="005A57A2"/>
    <w:rsid w:val="005A6696"/>
    <w:rsid w:val="005A6983"/>
    <w:rsid w:val="005A6A08"/>
    <w:rsid w:val="005A6DE5"/>
    <w:rsid w:val="005A6F5A"/>
    <w:rsid w:val="005A7173"/>
    <w:rsid w:val="005A76AB"/>
    <w:rsid w:val="005A7943"/>
    <w:rsid w:val="005B0062"/>
    <w:rsid w:val="005B06D5"/>
    <w:rsid w:val="005B0A3D"/>
    <w:rsid w:val="005B11AA"/>
    <w:rsid w:val="005B16A9"/>
    <w:rsid w:val="005B21E9"/>
    <w:rsid w:val="005B32CF"/>
    <w:rsid w:val="005B370D"/>
    <w:rsid w:val="005B3775"/>
    <w:rsid w:val="005B3998"/>
    <w:rsid w:val="005B3E0E"/>
    <w:rsid w:val="005B3E9A"/>
    <w:rsid w:val="005B4081"/>
    <w:rsid w:val="005B40A6"/>
    <w:rsid w:val="005B4302"/>
    <w:rsid w:val="005B4830"/>
    <w:rsid w:val="005B49AA"/>
    <w:rsid w:val="005B4B3A"/>
    <w:rsid w:val="005B64C8"/>
    <w:rsid w:val="005B6DB8"/>
    <w:rsid w:val="005B702D"/>
    <w:rsid w:val="005B7ADF"/>
    <w:rsid w:val="005C0277"/>
    <w:rsid w:val="005C077A"/>
    <w:rsid w:val="005C080D"/>
    <w:rsid w:val="005C097A"/>
    <w:rsid w:val="005C0B20"/>
    <w:rsid w:val="005C0C10"/>
    <w:rsid w:val="005C0DB2"/>
    <w:rsid w:val="005C0E4D"/>
    <w:rsid w:val="005C10BA"/>
    <w:rsid w:val="005C1DAE"/>
    <w:rsid w:val="005C2650"/>
    <w:rsid w:val="005C2857"/>
    <w:rsid w:val="005C2CA7"/>
    <w:rsid w:val="005C2F75"/>
    <w:rsid w:val="005C344A"/>
    <w:rsid w:val="005C3607"/>
    <w:rsid w:val="005C3C38"/>
    <w:rsid w:val="005C4093"/>
    <w:rsid w:val="005C413B"/>
    <w:rsid w:val="005C42B4"/>
    <w:rsid w:val="005C48F4"/>
    <w:rsid w:val="005C4C2B"/>
    <w:rsid w:val="005C4E97"/>
    <w:rsid w:val="005C4FF4"/>
    <w:rsid w:val="005C569E"/>
    <w:rsid w:val="005C5D9E"/>
    <w:rsid w:val="005C64CC"/>
    <w:rsid w:val="005C7245"/>
    <w:rsid w:val="005C726A"/>
    <w:rsid w:val="005C75E4"/>
    <w:rsid w:val="005C786E"/>
    <w:rsid w:val="005C789C"/>
    <w:rsid w:val="005D0650"/>
    <w:rsid w:val="005D15E5"/>
    <w:rsid w:val="005D1F24"/>
    <w:rsid w:val="005D283B"/>
    <w:rsid w:val="005D2840"/>
    <w:rsid w:val="005D2855"/>
    <w:rsid w:val="005D2DBE"/>
    <w:rsid w:val="005D2E6E"/>
    <w:rsid w:val="005D3539"/>
    <w:rsid w:val="005D3B50"/>
    <w:rsid w:val="005D3DDB"/>
    <w:rsid w:val="005D540D"/>
    <w:rsid w:val="005D57C6"/>
    <w:rsid w:val="005D5CCC"/>
    <w:rsid w:val="005D6201"/>
    <w:rsid w:val="005D6B22"/>
    <w:rsid w:val="005D70F3"/>
    <w:rsid w:val="005D7238"/>
    <w:rsid w:val="005D72B0"/>
    <w:rsid w:val="005D7462"/>
    <w:rsid w:val="005D7B72"/>
    <w:rsid w:val="005D7D64"/>
    <w:rsid w:val="005E07F5"/>
    <w:rsid w:val="005E081B"/>
    <w:rsid w:val="005E0A6B"/>
    <w:rsid w:val="005E133B"/>
    <w:rsid w:val="005E1B1F"/>
    <w:rsid w:val="005E1DC2"/>
    <w:rsid w:val="005E21B4"/>
    <w:rsid w:val="005E2233"/>
    <w:rsid w:val="005E28F0"/>
    <w:rsid w:val="005E33EE"/>
    <w:rsid w:val="005E35C7"/>
    <w:rsid w:val="005E391C"/>
    <w:rsid w:val="005E3A60"/>
    <w:rsid w:val="005E3C0D"/>
    <w:rsid w:val="005E4695"/>
    <w:rsid w:val="005E4697"/>
    <w:rsid w:val="005E4A74"/>
    <w:rsid w:val="005E4D29"/>
    <w:rsid w:val="005E4D44"/>
    <w:rsid w:val="005E5779"/>
    <w:rsid w:val="005E5B43"/>
    <w:rsid w:val="005E64B6"/>
    <w:rsid w:val="005E690E"/>
    <w:rsid w:val="005E6B2F"/>
    <w:rsid w:val="005E78BB"/>
    <w:rsid w:val="005E7A1E"/>
    <w:rsid w:val="005E7B65"/>
    <w:rsid w:val="005E7C76"/>
    <w:rsid w:val="005F0006"/>
    <w:rsid w:val="005F03EF"/>
    <w:rsid w:val="005F2115"/>
    <w:rsid w:val="005F2BF9"/>
    <w:rsid w:val="005F476A"/>
    <w:rsid w:val="005F4868"/>
    <w:rsid w:val="005F48E4"/>
    <w:rsid w:val="005F4B35"/>
    <w:rsid w:val="005F52D9"/>
    <w:rsid w:val="005F59D7"/>
    <w:rsid w:val="005F626E"/>
    <w:rsid w:val="005F667B"/>
    <w:rsid w:val="005F6751"/>
    <w:rsid w:val="005F7AB9"/>
    <w:rsid w:val="0060039F"/>
    <w:rsid w:val="00600500"/>
    <w:rsid w:val="00600629"/>
    <w:rsid w:val="00601502"/>
    <w:rsid w:val="00601796"/>
    <w:rsid w:val="006017E0"/>
    <w:rsid w:val="00601842"/>
    <w:rsid w:val="0060217D"/>
    <w:rsid w:val="006022F8"/>
    <w:rsid w:val="006024AB"/>
    <w:rsid w:val="00602B3D"/>
    <w:rsid w:val="00602DF6"/>
    <w:rsid w:val="0060380F"/>
    <w:rsid w:val="0060396E"/>
    <w:rsid w:val="00603EED"/>
    <w:rsid w:val="006040D3"/>
    <w:rsid w:val="00604558"/>
    <w:rsid w:val="0060626A"/>
    <w:rsid w:val="0060642E"/>
    <w:rsid w:val="006064E0"/>
    <w:rsid w:val="00606621"/>
    <w:rsid w:val="0060686B"/>
    <w:rsid w:val="006070DE"/>
    <w:rsid w:val="006071D3"/>
    <w:rsid w:val="00607395"/>
    <w:rsid w:val="0060740D"/>
    <w:rsid w:val="00607986"/>
    <w:rsid w:val="00607B2C"/>
    <w:rsid w:val="00610261"/>
    <w:rsid w:val="00610CED"/>
    <w:rsid w:val="006116A7"/>
    <w:rsid w:val="00611857"/>
    <w:rsid w:val="00611997"/>
    <w:rsid w:val="00611D5E"/>
    <w:rsid w:val="00611E97"/>
    <w:rsid w:val="006120CE"/>
    <w:rsid w:val="00612CDD"/>
    <w:rsid w:val="00612EE1"/>
    <w:rsid w:val="0061427B"/>
    <w:rsid w:val="00614443"/>
    <w:rsid w:val="006144D1"/>
    <w:rsid w:val="00614684"/>
    <w:rsid w:val="00615E5E"/>
    <w:rsid w:val="00616244"/>
    <w:rsid w:val="00616893"/>
    <w:rsid w:val="00616C38"/>
    <w:rsid w:val="00616D1B"/>
    <w:rsid w:val="0061745A"/>
    <w:rsid w:val="006177EF"/>
    <w:rsid w:val="006222FB"/>
    <w:rsid w:val="0062235C"/>
    <w:rsid w:val="00622394"/>
    <w:rsid w:val="006225E4"/>
    <w:rsid w:val="0062262A"/>
    <w:rsid w:val="00622C59"/>
    <w:rsid w:val="00623CAD"/>
    <w:rsid w:val="006245D1"/>
    <w:rsid w:val="006249A1"/>
    <w:rsid w:val="00624CAA"/>
    <w:rsid w:val="006254CD"/>
    <w:rsid w:val="0062568D"/>
    <w:rsid w:val="00625A5A"/>
    <w:rsid w:val="00625AC6"/>
    <w:rsid w:val="00625B0E"/>
    <w:rsid w:val="00625F79"/>
    <w:rsid w:val="00626C5B"/>
    <w:rsid w:val="00627C80"/>
    <w:rsid w:val="00627CFE"/>
    <w:rsid w:val="00627CFF"/>
    <w:rsid w:val="00630057"/>
    <w:rsid w:val="00630502"/>
    <w:rsid w:val="006306AD"/>
    <w:rsid w:val="0063121F"/>
    <w:rsid w:val="00631AFB"/>
    <w:rsid w:val="00631DFB"/>
    <w:rsid w:val="00632021"/>
    <w:rsid w:val="006334D8"/>
    <w:rsid w:val="006342A3"/>
    <w:rsid w:val="006344D9"/>
    <w:rsid w:val="006347B1"/>
    <w:rsid w:val="00634B1D"/>
    <w:rsid w:val="00634BED"/>
    <w:rsid w:val="00634CB1"/>
    <w:rsid w:val="00634E44"/>
    <w:rsid w:val="006354D9"/>
    <w:rsid w:val="0063575E"/>
    <w:rsid w:val="006357C8"/>
    <w:rsid w:val="006359D6"/>
    <w:rsid w:val="00635A5A"/>
    <w:rsid w:val="00635E29"/>
    <w:rsid w:val="00637BB3"/>
    <w:rsid w:val="0064059B"/>
    <w:rsid w:val="0064089F"/>
    <w:rsid w:val="00640C29"/>
    <w:rsid w:val="006418B8"/>
    <w:rsid w:val="00641A6B"/>
    <w:rsid w:val="00642364"/>
    <w:rsid w:val="006427F5"/>
    <w:rsid w:val="00642C6D"/>
    <w:rsid w:val="00643137"/>
    <w:rsid w:val="006432E8"/>
    <w:rsid w:val="00643BA6"/>
    <w:rsid w:val="00643F22"/>
    <w:rsid w:val="00644070"/>
    <w:rsid w:val="00644A07"/>
    <w:rsid w:val="00644DB9"/>
    <w:rsid w:val="006453D4"/>
    <w:rsid w:val="006453ED"/>
    <w:rsid w:val="00646A8B"/>
    <w:rsid w:val="00646BAD"/>
    <w:rsid w:val="00650CBD"/>
    <w:rsid w:val="00650E51"/>
    <w:rsid w:val="0065254D"/>
    <w:rsid w:val="006529B4"/>
    <w:rsid w:val="00652A56"/>
    <w:rsid w:val="00652C5D"/>
    <w:rsid w:val="006531E6"/>
    <w:rsid w:val="00653608"/>
    <w:rsid w:val="00653921"/>
    <w:rsid w:val="0065406F"/>
    <w:rsid w:val="006540F7"/>
    <w:rsid w:val="00654BEA"/>
    <w:rsid w:val="00654C5B"/>
    <w:rsid w:val="00654F1F"/>
    <w:rsid w:val="00654F4F"/>
    <w:rsid w:val="00655083"/>
    <w:rsid w:val="0065558D"/>
    <w:rsid w:val="00656678"/>
    <w:rsid w:val="0065674E"/>
    <w:rsid w:val="00656D6A"/>
    <w:rsid w:val="00657030"/>
    <w:rsid w:val="006579B1"/>
    <w:rsid w:val="00660232"/>
    <w:rsid w:val="0066087C"/>
    <w:rsid w:val="006615EE"/>
    <w:rsid w:val="00661707"/>
    <w:rsid w:val="00661F63"/>
    <w:rsid w:val="00662DBB"/>
    <w:rsid w:val="00662F4A"/>
    <w:rsid w:val="00663634"/>
    <w:rsid w:val="00663636"/>
    <w:rsid w:val="0066369B"/>
    <w:rsid w:val="0066388D"/>
    <w:rsid w:val="00663A2B"/>
    <w:rsid w:val="00663F48"/>
    <w:rsid w:val="006642ED"/>
    <w:rsid w:val="00664BC5"/>
    <w:rsid w:val="00664CB9"/>
    <w:rsid w:val="00664D36"/>
    <w:rsid w:val="006650ED"/>
    <w:rsid w:val="0066544F"/>
    <w:rsid w:val="0066566C"/>
    <w:rsid w:val="00665F75"/>
    <w:rsid w:val="0066628D"/>
    <w:rsid w:val="00666789"/>
    <w:rsid w:val="00666E30"/>
    <w:rsid w:val="006670B9"/>
    <w:rsid w:val="0066723D"/>
    <w:rsid w:val="00667AD5"/>
    <w:rsid w:val="00667F2C"/>
    <w:rsid w:val="00670212"/>
    <w:rsid w:val="00670BAC"/>
    <w:rsid w:val="00671180"/>
    <w:rsid w:val="00671245"/>
    <w:rsid w:val="00671791"/>
    <w:rsid w:val="00671D53"/>
    <w:rsid w:val="00672632"/>
    <w:rsid w:val="0067290B"/>
    <w:rsid w:val="006729F8"/>
    <w:rsid w:val="00672A73"/>
    <w:rsid w:val="00672AA7"/>
    <w:rsid w:val="006732BD"/>
    <w:rsid w:val="0067397C"/>
    <w:rsid w:val="00673A12"/>
    <w:rsid w:val="00674190"/>
    <w:rsid w:val="006741EB"/>
    <w:rsid w:val="006742E0"/>
    <w:rsid w:val="0067484F"/>
    <w:rsid w:val="006748FE"/>
    <w:rsid w:val="00675FCB"/>
    <w:rsid w:val="006760E5"/>
    <w:rsid w:val="00676D62"/>
    <w:rsid w:val="00676FE6"/>
    <w:rsid w:val="0067727C"/>
    <w:rsid w:val="00677EA9"/>
    <w:rsid w:val="0068039C"/>
    <w:rsid w:val="00680841"/>
    <w:rsid w:val="00680B36"/>
    <w:rsid w:val="00680E4A"/>
    <w:rsid w:val="006811C6"/>
    <w:rsid w:val="0068205A"/>
    <w:rsid w:val="00682416"/>
    <w:rsid w:val="00682BF6"/>
    <w:rsid w:val="00683662"/>
    <w:rsid w:val="00683886"/>
    <w:rsid w:val="006839F1"/>
    <w:rsid w:val="00683A00"/>
    <w:rsid w:val="00683A46"/>
    <w:rsid w:val="00683D51"/>
    <w:rsid w:val="006843D0"/>
    <w:rsid w:val="00684BAC"/>
    <w:rsid w:val="0068569E"/>
    <w:rsid w:val="00685951"/>
    <w:rsid w:val="0068595A"/>
    <w:rsid w:val="00685B7A"/>
    <w:rsid w:val="00685D35"/>
    <w:rsid w:val="00685F1F"/>
    <w:rsid w:val="006862C7"/>
    <w:rsid w:val="006864AF"/>
    <w:rsid w:val="006864CD"/>
    <w:rsid w:val="00686680"/>
    <w:rsid w:val="00686AFA"/>
    <w:rsid w:val="0068735B"/>
    <w:rsid w:val="006875D6"/>
    <w:rsid w:val="00687AC1"/>
    <w:rsid w:val="00687D05"/>
    <w:rsid w:val="00687F81"/>
    <w:rsid w:val="00690695"/>
    <w:rsid w:val="006913C2"/>
    <w:rsid w:val="0069180E"/>
    <w:rsid w:val="0069191A"/>
    <w:rsid w:val="006927A9"/>
    <w:rsid w:val="006940D9"/>
    <w:rsid w:val="006942D2"/>
    <w:rsid w:val="006945C4"/>
    <w:rsid w:val="00694ACA"/>
    <w:rsid w:val="006955F9"/>
    <w:rsid w:val="0069617A"/>
    <w:rsid w:val="0069702B"/>
    <w:rsid w:val="006972FE"/>
    <w:rsid w:val="006975DB"/>
    <w:rsid w:val="006A0069"/>
    <w:rsid w:val="006A014A"/>
    <w:rsid w:val="006A0652"/>
    <w:rsid w:val="006A0FFF"/>
    <w:rsid w:val="006A105C"/>
    <w:rsid w:val="006A12BC"/>
    <w:rsid w:val="006A1329"/>
    <w:rsid w:val="006A1681"/>
    <w:rsid w:val="006A1D38"/>
    <w:rsid w:val="006A1DD1"/>
    <w:rsid w:val="006A2C51"/>
    <w:rsid w:val="006A2D07"/>
    <w:rsid w:val="006A3705"/>
    <w:rsid w:val="006A4130"/>
    <w:rsid w:val="006A4479"/>
    <w:rsid w:val="006A62DF"/>
    <w:rsid w:val="006A6EAA"/>
    <w:rsid w:val="006A73C0"/>
    <w:rsid w:val="006A7D49"/>
    <w:rsid w:val="006B0261"/>
    <w:rsid w:val="006B08DF"/>
    <w:rsid w:val="006B114F"/>
    <w:rsid w:val="006B14D9"/>
    <w:rsid w:val="006B15E3"/>
    <w:rsid w:val="006B166A"/>
    <w:rsid w:val="006B170F"/>
    <w:rsid w:val="006B1C89"/>
    <w:rsid w:val="006B1E95"/>
    <w:rsid w:val="006B21B4"/>
    <w:rsid w:val="006B2984"/>
    <w:rsid w:val="006B2C07"/>
    <w:rsid w:val="006B3160"/>
    <w:rsid w:val="006B3282"/>
    <w:rsid w:val="006B3705"/>
    <w:rsid w:val="006B45F1"/>
    <w:rsid w:val="006B4663"/>
    <w:rsid w:val="006B48FA"/>
    <w:rsid w:val="006B4926"/>
    <w:rsid w:val="006B4950"/>
    <w:rsid w:val="006B4F45"/>
    <w:rsid w:val="006B5FC8"/>
    <w:rsid w:val="006B6036"/>
    <w:rsid w:val="006B6299"/>
    <w:rsid w:val="006B6316"/>
    <w:rsid w:val="006B657B"/>
    <w:rsid w:val="006B6929"/>
    <w:rsid w:val="006C17A9"/>
    <w:rsid w:val="006C1B3D"/>
    <w:rsid w:val="006C2225"/>
    <w:rsid w:val="006C22EC"/>
    <w:rsid w:val="006C2597"/>
    <w:rsid w:val="006C2B3D"/>
    <w:rsid w:val="006C2F0A"/>
    <w:rsid w:val="006C3706"/>
    <w:rsid w:val="006C3AE4"/>
    <w:rsid w:val="006C4218"/>
    <w:rsid w:val="006C4354"/>
    <w:rsid w:val="006C4850"/>
    <w:rsid w:val="006C4D94"/>
    <w:rsid w:val="006C4ECB"/>
    <w:rsid w:val="006C4F04"/>
    <w:rsid w:val="006C5270"/>
    <w:rsid w:val="006C625B"/>
    <w:rsid w:val="006C70B0"/>
    <w:rsid w:val="006C717E"/>
    <w:rsid w:val="006C72A2"/>
    <w:rsid w:val="006C7803"/>
    <w:rsid w:val="006C78A3"/>
    <w:rsid w:val="006C7E1D"/>
    <w:rsid w:val="006C7F42"/>
    <w:rsid w:val="006D002D"/>
    <w:rsid w:val="006D0366"/>
    <w:rsid w:val="006D0940"/>
    <w:rsid w:val="006D0AF1"/>
    <w:rsid w:val="006D19DC"/>
    <w:rsid w:val="006D1FE4"/>
    <w:rsid w:val="006D2CD1"/>
    <w:rsid w:val="006D32B9"/>
    <w:rsid w:val="006D3878"/>
    <w:rsid w:val="006D3975"/>
    <w:rsid w:val="006D3AE6"/>
    <w:rsid w:val="006D4090"/>
    <w:rsid w:val="006D414A"/>
    <w:rsid w:val="006D450B"/>
    <w:rsid w:val="006D4BE2"/>
    <w:rsid w:val="006D52D9"/>
    <w:rsid w:val="006D545F"/>
    <w:rsid w:val="006D551F"/>
    <w:rsid w:val="006D5FD9"/>
    <w:rsid w:val="006D62DB"/>
    <w:rsid w:val="006D6C24"/>
    <w:rsid w:val="006D744D"/>
    <w:rsid w:val="006D764B"/>
    <w:rsid w:val="006D7A33"/>
    <w:rsid w:val="006E0326"/>
    <w:rsid w:val="006E0416"/>
    <w:rsid w:val="006E0A76"/>
    <w:rsid w:val="006E10C1"/>
    <w:rsid w:val="006E13A9"/>
    <w:rsid w:val="006E1462"/>
    <w:rsid w:val="006E1490"/>
    <w:rsid w:val="006E1B16"/>
    <w:rsid w:val="006E21FA"/>
    <w:rsid w:val="006E3007"/>
    <w:rsid w:val="006E34EE"/>
    <w:rsid w:val="006E3508"/>
    <w:rsid w:val="006E3E3F"/>
    <w:rsid w:val="006E4A82"/>
    <w:rsid w:val="006E4F1E"/>
    <w:rsid w:val="006E5A64"/>
    <w:rsid w:val="006E65B8"/>
    <w:rsid w:val="006E6618"/>
    <w:rsid w:val="006E6661"/>
    <w:rsid w:val="006E68EC"/>
    <w:rsid w:val="006E6A56"/>
    <w:rsid w:val="006E71F5"/>
    <w:rsid w:val="006E77D1"/>
    <w:rsid w:val="006E7AC4"/>
    <w:rsid w:val="006E7BF3"/>
    <w:rsid w:val="006E7D42"/>
    <w:rsid w:val="006F0416"/>
    <w:rsid w:val="006F0ABD"/>
    <w:rsid w:val="006F0E45"/>
    <w:rsid w:val="006F1972"/>
    <w:rsid w:val="006F1B3D"/>
    <w:rsid w:val="006F1D36"/>
    <w:rsid w:val="006F223F"/>
    <w:rsid w:val="006F2323"/>
    <w:rsid w:val="006F2ED9"/>
    <w:rsid w:val="006F33E4"/>
    <w:rsid w:val="006F3E3F"/>
    <w:rsid w:val="006F459F"/>
    <w:rsid w:val="006F4F55"/>
    <w:rsid w:val="006F5196"/>
    <w:rsid w:val="006F5820"/>
    <w:rsid w:val="006F5BEF"/>
    <w:rsid w:val="006F6607"/>
    <w:rsid w:val="006F6747"/>
    <w:rsid w:val="006F6957"/>
    <w:rsid w:val="006F698D"/>
    <w:rsid w:val="006F74CD"/>
    <w:rsid w:val="00700108"/>
    <w:rsid w:val="007001A9"/>
    <w:rsid w:val="007001E9"/>
    <w:rsid w:val="00700437"/>
    <w:rsid w:val="0070168E"/>
    <w:rsid w:val="00702461"/>
    <w:rsid w:val="007024FC"/>
    <w:rsid w:val="007026CB"/>
    <w:rsid w:val="00702720"/>
    <w:rsid w:val="00702CA0"/>
    <w:rsid w:val="00702F87"/>
    <w:rsid w:val="00703345"/>
    <w:rsid w:val="00703825"/>
    <w:rsid w:val="00703D8B"/>
    <w:rsid w:val="00703EC0"/>
    <w:rsid w:val="00704770"/>
    <w:rsid w:val="00704B9A"/>
    <w:rsid w:val="00704E58"/>
    <w:rsid w:val="00704F4C"/>
    <w:rsid w:val="007059F8"/>
    <w:rsid w:val="00705A61"/>
    <w:rsid w:val="007062D9"/>
    <w:rsid w:val="0070649B"/>
    <w:rsid w:val="00707330"/>
    <w:rsid w:val="007101FA"/>
    <w:rsid w:val="0071039B"/>
    <w:rsid w:val="00710ACE"/>
    <w:rsid w:val="0071120A"/>
    <w:rsid w:val="00711BF3"/>
    <w:rsid w:val="00711D9A"/>
    <w:rsid w:val="00711ED2"/>
    <w:rsid w:val="00712265"/>
    <w:rsid w:val="00712857"/>
    <w:rsid w:val="007128CB"/>
    <w:rsid w:val="007128F2"/>
    <w:rsid w:val="007129A0"/>
    <w:rsid w:val="00713B24"/>
    <w:rsid w:val="0071419C"/>
    <w:rsid w:val="00715806"/>
    <w:rsid w:val="00715AC8"/>
    <w:rsid w:val="00716751"/>
    <w:rsid w:val="0071699E"/>
    <w:rsid w:val="00716CB1"/>
    <w:rsid w:val="00716EFD"/>
    <w:rsid w:val="007178E6"/>
    <w:rsid w:val="00720A79"/>
    <w:rsid w:val="00720E98"/>
    <w:rsid w:val="007215E2"/>
    <w:rsid w:val="007219F9"/>
    <w:rsid w:val="00721C2A"/>
    <w:rsid w:val="00721D9F"/>
    <w:rsid w:val="00722659"/>
    <w:rsid w:val="00722871"/>
    <w:rsid w:val="00722CBE"/>
    <w:rsid w:val="00722DCE"/>
    <w:rsid w:val="007234EF"/>
    <w:rsid w:val="00723A16"/>
    <w:rsid w:val="00724066"/>
    <w:rsid w:val="00724E5A"/>
    <w:rsid w:val="0072559F"/>
    <w:rsid w:val="00725883"/>
    <w:rsid w:val="00726178"/>
    <w:rsid w:val="007261E3"/>
    <w:rsid w:val="00726ED7"/>
    <w:rsid w:val="007274EE"/>
    <w:rsid w:val="00727E92"/>
    <w:rsid w:val="007306DC"/>
    <w:rsid w:val="007306FE"/>
    <w:rsid w:val="007310A0"/>
    <w:rsid w:val="0073158B"/>
    <w:rsid w:val="00731C06"/>
    <w:rsid w:val="00731C8C"/>
    <w:rsid w:val="00731E69"/>
    <w:rsid w:val="00731F35"/>
    <w:rsid w:val="0073226C"/>
    <w:rsid w:val="00732650"/>
    <w:rsid w:val="00732CAB"/>
    <w:rsid w:val="00732CCB"/>
    <w:rsid w:val="00733124"/>
    <w:rsid w:val="00733395"/>
    <w:rsid w:val="00733D94"/>
    <w:rsid w:val="00734143"/>
    <w:rsid w:val="00734352"/>
    <w:rsid w:val="007343CE"/>
    <w:rsid w:val="0073441C"/>
    <w:rsid w:val="007344A2"/>
    <w:rsid w:val="00734D34"/>
    <w:rsid w:val="00734EFC"/>
    <w:rsid w:val="0073521B"/>
    <w:rsid w:val="007358C4"/>
    <w:rsid w:val="00735C24"/>
    <w:rsid w:val="007361CB"/>
    <w:rsid w:val="00737061"/>
    <w:rsid w:val="00737CCC"/>
    <w:rsid w:val="007401A7"/>
    <w:rsid w:val="00740E48"/>
    <w:rsid w:val="007410B9"/>
    <w:rsid w:val="007422B0"/>
    <w:rsid w:val="007428BE"/>
    <w:rsid w:val="00742E6C"/>
    <w:rsid w:val="00743A2D"/>
    <w:rsid w:val="007445A7"/>
    <w:rsid w:val="007451A5"/>
    <w:rsid w:val="0074534C"/>
    <w:rsid w:val="00745B88"/>
    <w:rsid w:val="00746199"/>
    <w:rsid w:val="007461DE"/>
    <w:rsid w:val="0074636A"/>
    <w:rsid w:val="00747724"/>
    <w:rsid w:val="007478CB"/>
    <w:rsid w:val="0075040B"/>
    <w:rsid w:val="00750782"/>
    <w:rsid w:val="00750D96"/>
    <w:rsid w:val="007519C3"/>
    <w:rsid w:val="007527E9"/>
    <w:rsid w:val="00752BBC"/>
    <w:rsid w:val="00752E63"/>
    <w:rsid w:val="0075309C"/>
    <w:rsid w:val="00753411"/>
    <w:rsid w:val="00753569"/>
    <w:rsid w:val="00753F0B"/>
    <w:rsid w:val="00753FE6"/>
    <w:rsid w:val="00754309"/>
    <w:rsid w:val="00754459"/>
    <w:rsid w:val="007545F9"/>
    <w:rsid w:val="00754A06"/>
    <w:rsid w:val="007550B8"/>
    <w:rsid w:val="00755662"/>
    <w:rsid w:val="00755B57"/>
    <w:rsid w:val="00755F86"/>
    <w:rsid w:val="007565AC"/>
    <w:rsid w:val="007566C9"/>
    <w:rsid w:val="0075696F"/>
    <w:rsid w:val="00756A01"/>
    <w:rsid w:val="0075700F"/>
    <w:rsid w:val="007570F6"/>
    <w:rsid w:val="007575F3"/>
    <w:rsid w:val="00757770"/>
    <w:rsid w:val="007577F1"/>
    <w:rsid w:val="00757D02"/>
    <w:rsid w:val="007605A3"/>
    <w:rsid w:val="00762955"/>
    <w:rsid w:val="00762ED6"/>
    <w:rsid w:val="007630BE"/>
    <w:rsid w:val="00763A71"/>
    <w:rsid w:val="00764365"/>
    <w:rsid w:val="00764476"/>
    <w:rsid w:val="007644CE"/>
    <w:rsid w:val="00764EEF"/>
    <w:rsid w:val="00764F8B"/>
    <w:rsid w:val="00765927"/>
    <w:rsid w:val="007669A8"/>
    <w:rsid w:val="007678D2"/>
    <w:rsid w:val="00767BC7"/>
    <w:rsid w:val="00767CAA"/>
    <w:rsid w:val="00767EA8"/>
    <w:rsid w:val="00770285"/>
    <w:rsid w:val="00770D08"/>
    <w:rsid w:val="007713BD"/>
    <w:rsid w:val="0077153B"/>
    <w:rsid w:val="007715D2"/>
    <w:rsid w:val="00772011"/>
    <w:rsid w:val="00772541"/>
    <w:rsid w:val="00772F77"/>
    <w:rsid w:val="007739E3"/>
    <w:rsid w:val="00773BF1"/>
    <w:rsid w:val="00773FBE"/>
    <w:rsid w:val="007740E0"/>
    <w:rsid w:val="007743A7"/>
    <w:rsid w:val="007743C5"/>
    <w:rsid w:val="007752B1"/>
    <w:rsid w:val="00775B25"/>
    <w:rsid w:val="00776618"/>
    <w:rsid w:val="007769E5"/>
    <w:rsid w:val="00776D03"/>
    <w:rsid w:val="007770FF"/>
    <w:rsid w:val="00777CF7"/>
    <w:rsid w:val="007800BC"/>
    <w:rsid w:val="00780341"/>
    <w:rsid w:val="0078040F"/>
    <w:rsid w:val="00780587"/>
    <w:rsid w:val="00780792"/>
    <w:rsid w:val="00780B17"/>
    <w:rsid w:val="00780C86"/>
    <w:rsid w:val="00780F80"/>
    <w:rsid w:val="00781516"/>
    <w:rsid w:val="00781D65"/>
    <w:rsid w:val="00781E9F"/>
    <w:rsid w:val="0078219A"/>
    <w:rsid w:val="00782498"/>
    <w:rsid w:val="007828DA"/>
    <w:rsid w:val="00783076"/>
    <w:rsid w:val="00783421"/>
    <w:rsid w:val="0078365E"/>
    <w:rsid w:val="007838F5"/>
    <w:rsid w:val="00783AD5"/>
    <w:rsid w:val="00783C2E"/>
    <w:rsid w:val="007846FD"/>
    <w:rsid w:val="007848E5"/>
    <w:rsid w:val="007848EB"/>
    <w:rsid w:val="00784AF8"/>
    <w:rsid w:val="00785016"/>
    <w:rsid w:val="007853FD"/>
    <w:rsid w:val="007856E5"/>
    <w:rsid w:val="00785A24"/>
    <w:rsid w:val="00786408"/>
    <w:rsid w:val="00786785"/>
    <w:rsid w:val="00786827"/>
    <w:rsid w:val="00786B86"/>
    <w:rsid w:val="007871AF"/>
    <w:rsid w:val="00787770"/>
    <w:rsid w:val="00787A6F"/>
    <w:rsid w:val="00790685"/>
    <w:rsid w:val="00790710"/>
    <w:rsid w:val="00790C7C"/>
    <w:rsid w:val="007913AD"/>
    <w:rsid w:val="007918F4"/>
    <w:rsid w:val="00791F34"/>
    <w:rsid w:val="00791F8F"/>
    <w:rsid w:val="00792F1A"/>
    <w:rsid w:val="00792F9D"/>
    <w:rsid w:val="007935AD"/>
    <w:rsid w:val="007935B3"/>
    <w:rsid w:val="0079384F"/>
    <w:rsid w:val="007939B0"/>
    <w:rsid w:val="00794461"/>
    <w:rsid w:val="00794A07"/>
    <w:rsid w:val="00794A7B"/>
    <w:rsid w:val="00794BC3"/>
    <w:rsid w:val="00794C93"/>
    <w:rsid w:val="00794E3D"/>
    <w:rsid w:val="00795044"/>
    <w:rsid w:val="0079512B"/>
    <w:rsid w:val="007957CE"/>
    <w:rsid w:val="00795977"/>
    <w:rsid w:val="00795C76"/>
    <w:rsid w:val="00796496"/>
    <w:rsid w:val="007964B0"/>
    <w:rsid w:val="007965FC"/>
    <w:rsid w:val="00796680"/>
    <w:rsid w:val="00797224"/>
    <w:rsid w:val="00797865"/>
    <w:rsid w:val="007A01B9"/>
    <w:rsid w:val="007A03D9"/>
    <w:rsid w:val="007A0D3B"/>
    <w:rsid w:val="007A3A3F"/>
    <w:rsid w:val="007A4124"/>
    <w:rsid w:val="007A4346"/>
    <w:rsid w:val="007A458D"/>
    <w:rsid w:val="007A4691"/>
    <w:rsid w:val="007A4E47"/>
    <w:rsid w:val="007A511D"/>
    <w:rsid w:val="007A53AC"/>
    <w:rsid w:val="007A5794"/>
    <w:rsid w:val="007A57E8"/>
    <w:rsid w:val="007A62D1"/>
    <w:rsid w:val="007A6D86"/>
    <w:rsid w:val="007A70A7"/>
    <w:rsid w:val="007A755D"/>
    <w:rsid w:val="007A757C"/>
    <w:rsid w:val="007A760A"/>
    <w:rsid w:val="007A7BC6"/>
    <w:rsid w:val="007B0517"/>
    <w:rsid w:val="007B0AFD"/>
    <w:rsid w:val="007B11F9"/>
    <w:rsid w:val="007B1FE2"/>
    <w:rsid w:val="007B276B"/>
    <w:rsid w:val="007B302E"/>
    <w:rsid w:val="007B3656"/>
    <w:rsid w:val="007B3779"/>
    <w:rsid w:val="007B388C"/>
    <w:rsid w:val="007B3B36"/>
    <w:rsid w:val="007B41B3"/>
    <w:rsid w:val="007B6038"/>
    <w:rsid w:val="007B60A7"/>
    <w:rsid w:val="007B67E7"/>
    <w:rsid w:val="007B6802"/>
    <w:rsid w:val="007B6AA2"/>
    <w:rsid w:val="007B6C79"/>
    <w:rsid w:val="007B6F89"/>
    <w:rsid w:val="007B707C"/>
    <w:rsid w:val="007B7660"/>
    <w:rsid w:val="007B77F2"/>
    <w:rsid w:val="007C048B"/>
    <w:rsid w:val="007C09EC"/>
    <w:rsid w:val="007C127C"/>
    <w:rsid w:val="007C252B"/>
    <w:rsid w:val="007C3924"/>
    <w:rsid w:val="007C3C4B"/>
    <w:rsid w:val="007C433A"/>
    <w:rsid w:val="007C44D1"/>
    <w:rsid w:val="007C49C0"/>
    <w:rsid w:val="007C4FDF"/>
    <w:rsid w:val="007C55FC"/>
    <w:rsid w:val="007C5A0A"/>
    <w:rsid w:val="007C5DC6"/>
    <w:rsid w:val="007C5ECD"/>
    <w:rsid w:val="007C6054"/>
    <w:rsid w:val="007C6201"/>
    <w:rsid w:val="007C620A"/>
    <w:rsid w:val="007C6447"/>
    <w:rsid w:val="007C651B"/>
    <w:rsid w:val="007C6AE1"/>
    <w:rsid w:val="007C6E1F"/>
    <w:rsid w:val="007C7F99"/>
    <w:rsid w:val="007D05ED"/>
    <w:rsid w:val="007D1163"/>
    <w:rsid w:val="007D286E"/>
    <w:rsid w:val="007D2CCE"/>
    <w:rsid w:val="007D2D9A"/>
    <w:rsid w:val="007D3180"/>
    <w:rsid w:val="007D36D1"/>
    <w:rsid w:val="007D3962"/>
    <w:rsid w:val="007D39D9"/>
    <w:rsid w:val="007D3CAA"/>
    <w:rsid w:val="007D4108"/>
    <w:rsid w:val="007D46F9"/>
    <w:rsid w:val="007D4796"/>
    <w:rsid w:val="007D497A"/>
    <w:rsid w:val="007D51F1"/>
    <w:rsid w:val="007D5C05"/>
    <w:rsid w:val="007D5CAA"/>
    <w:rsid w:val="007D5EEC"/>
    <w:rsid w:val="007D60D8"/>
    <w:rsid w:val="007D66F8"/>
    <w:rsid w:val="007D68EC"/>
    <w:rsid w:val="007D6F74"/>
    <w:rsid w:val="007D7362"/>
    <w:rsid w:val="007D73A3"/>
    <w:rsid w:val="007D7997"/>
    <w:rsid w:val="007E0361"/>
    <w:rsid w:val="007E05D9"/>
    <w:rsid w:val="007E0CFA"/>
    <w:rsid w:val="007E0F3D"/>
    <w:rsid w:val="007E191A"/>
    <w:rsid w:val="007E197E"/>
    <w:rsid w:val="007E1A6B"/>
    <w:rsid w:val="007E1BF5"/>
    <w:rsid w:val="007E1E16"/>
    <w:rsid w:val="007E1E68"/>
    <w:rsid w:val="007E1F7A"/>
    <w:rsid w:val="007E20B5"/>
    <w:rsid w:val="007E287A"/>
    <w:rsid w:val="007E2D80"/>
    <w:rsid w:val="007E2E3A"/>
    <w:rsid w:val="007E330B"/>
    <w:rsid w:val="007E3849"/>
    <w:rsid w:val="007E3AF4"/>
    <w:rsid w:val="007E40AE"/>
    <w:rsid w:val="007E4503"/>
    <w:rsid w:val="007E4C95"/>
    <w:rsid w:val="007E52F5"/>
    <w:rsid w:val="007E5360"/>
    <w:rsid w:val="007E549B"/>
    <w:rsid w:val="007E5616"/>
    <w:rsid w:val="007E6866"/>
    <w:rsid w:val="007E6A66"/>
    <w:rsid w:val="007E6AC7"/>
    <w:rsid w:val="007E7427"/>
    <w:rsid w:val="007E7F00"/>
    <w:rsid w:val="007E7FF2"/>
    <w:rsid w:val="007F03CB"/>
    <w:rsid w:val="007F13B4"/>
    <w:rsid w:val="007F1C02"/>
    <w:rsid w:val="007F1D63"/>
    <w:rsid w:val="007F2685"/>
    <w:rsid w:val="007F3336"/>
    <w:rsid w:val="007F3444"/>
    <w:rsid w:val="007F3DCF"/>
    <w:rsid w:val="007F445C"/>
    <w:rsid w:val="007F47E6"/>
    <w:rsid w:val="007F4887"/>
    <w:rsid w:val="007F4D3F"/>
    <w:rsid w:val="007F50B7"/>
    <w:rsid w:val="007F55D7"/>
    <w:rsid w:val="007F578A"/>
    <w:rsid w:val="007F6341"/>
    <w:rsid w:val="007F65B9"/>
    <w:rsid w:val="007F6932"/>
    <w:rsid w:val="007F6D3D"/>
    <w:rsid w:val="007F6E47"/>
    <w:rsid w:val="007F701B"/>
    <w:rsid w:val="007F73AE"/>
    <w:rsid w:val="007F73C2"/>
    <w:rsid w:val="007F76CD"/>
    <w:rsid w:val="007F78DE"/>
    <w:rsid w:val="0080040C"/>
    <w:rsid w:val="00800A0A"/>
    <w:rsid w:val="00800A95"/>
    <w:rsid w:val="00800EF6"/>
    <w:rsid w:val="00801394"/>
    <w:rsid w:val="00801711"/>
    <w:rsid w:val="00801B07"/>
    <w:rsid w:val="008024B2"/>
    <w:rsid w:val="0080324C"/>
    <w:rsid w:val="0080341C"/>
    <w:rsid w:val="008035D2"/>
    <w:rsid w:val="008037E9"/>
    <w:rsid w:val="00803906"/>
    <w:rsid w:val="00803F1F"/>
    <w:rsid w:val="0080420D"/>
    <w:rsid w:val="00804265"/>
    <w:rsid w:val="008043BD"/>
    <w:rsid w:val="00804A97"/>
    <w:rsid w:val="00804E35"/>
    <w:rsid w:val="00805278"/>
    <w:rsid w:val="00805559"/>
    <w:rsid w:val="00805A0A"/>
    <w:rsid w:val="00805BBC"/>
    <w:rsid w:val="00805E94"/>
    <w:rsid w:val="00806255"/>
    <w:rsid w:val="008062CC"/>
    <w:rsid w:val="00810275"/>
    <w:rsid w:val="0081027F"/>
    <w:rsid w:val="00810454"/>
    <w:rsid w:val="008104E9"/>
    <w:rsid w:val="008105F4"/>
    <w:rsid w:val="008105FA"/>
    <w:rsid w:val="0081180A"/>
    <w:rsid w:val="008118E9"/>
    <w:rsid w:val="00811B0D"/>
    <w:rsid w:val="0081209F"/>
    <w:rsid w:val="008121D1"/>
    <w:rsid w:val="0081229C"/>
    <w:rsid w:val="00812334"/>
    <w:rsid w:val="008123A8"/>
    <w:rsid w:val="0081282B"/>
    <w:rsid w:val="00812847"/>
    <w:rsid w:val="00812A18"/>
    <w:rsid w:val="00812B7C"/>
    <w:rsid w:val="00814A2A"/>
    <w:rsid w:val="008152CB"/>
    <w:rsid w:val="00815677"/>
    <w:rsid w:val="0081688E"/>
    <w:rsid w:val="00816F6C"/>
    <w:rsid w:val="00816FDB"/>
    <w:rsid w:val="00817218"/>
    <w:rsid w:val="00817491"/>
    <w:rsid w:val="0081761B"/>
    <w:rsid w:val="00817C26"/>
    <w:rsid w:val="00817D90"/>
    <w:rsid w:val="008202B3"/>
    <w:rsid w:val="0082128E"/>
    <w:rsid w:val="00821383"/>
    <w:rsid w:val="008218E7"/>
    <w:rsid w:val="008221D9"/>
    <w:rsid w:val="00822364"/>
    <w:rsid w:val="00823569"/>
    <w:rsid w:val="00823844"/>
    <w:rsid w:val="00823FB7"/>
    <w:rsid w:val="008246B1"/>
    <w:rsid w:val="00824D22"/>
    <w:rsid w:val="00826CD4"/>
    <w:rsid w:val="00827861"/>
    <w:rsid w:val="00827B29"/>
    <w:rsid w:val="0083069C"/>
    <w:rsid w:val="00830797"/>
    <w:rsid w:val="00830A5F"/>
    <w:rsid w:val="0083128F"/>
    <w:rsid w:val="00831578"/>
    <w:rsid w:val="00831688"/>
    <w:rsid w:val="008316C7"/>
    <w:rsid w:val="00831C79"/>
    <w:rsid w:val="00832693"/>
    <w:rsid w:val="00832A35"/>
    <w:rsid w:val="00833012"/>
    <w:rsid w:val="008330C1"/>
    <w:rsid w:val="0083368B"/>
    <w:rsid w:val="00833E7D"/>
    <w:rsid w:val="00834477"/>
    <w:rsid w:val="00834AB0"/>
    <w:rsid w:val="0083559B"/>
    <w:rsid w:val="0083575F"/>
    <w:rsid w:val="00835FEC"/>
    <w:rsid w:val="008370E3"/>
    <w:rsid w:val="00837895"/>
    <w:rsid w:val="0084044E"/>
    <w:rsid w:val="0084058A"/>
    <w:rsid w:val="008412EB"/>
    <w:rsid w:val="00841BF2"/>
    <w:rsid w:val="00842200"/>
    <w:rsid w:val="0084246C"/>
    <w:rsid w:val="008424EA"/>
    <w:rsid w:val="00842CD8"/>
    <w:rsid w:val="008438E6"/>
    <w:rsid w:val="00844564"/>
    <w:rsid w:val="00844904"/>
    <w:rsid w:val="00844B6C"/>
    <w:rsid w:val="00844F46"/>
    <w:rsid w:val="008457D1"/>
    <w:rsid w:val="0084589A"/>
    <w:rsid w:val="00845BEC"/>
    <w:rsid w:val="00845C56"/>
    <w:rsid w:val="00845ED8"/>
    <w:rsid w:val="00845F83"/>
    <w:rsid w:val="00846671"/>
    <w:rsid w:val="0084718C"/>
    <w:rsid w:val="0084744C"/>
    <w:rsid w:val="00850099"/>
    <w:rsid w:val="00851158"/>
    <w:rsid w:val="008515BB"/>
    <w:rsid w:val="00851683"/>
    <w:rsid w:val="00851743"/>
    <w:rsid w:val="008518E3"/>
    <w:rsid w:val="00851E3C"/>
    <w:rsid w:val="008520FD"/>
    <w:rsid w:val="00852223"/>
    <w:rsid w:val="008524E9"/>
    <w:rsid w:val="00853347"/>
    <w:rsid w:val="008537DA"/>
    <w:rsid w:val="00853C89"/>
    <w:rsid w:val="008540BA"/>
    <w:rsid w:val="00854622"/>
    <w:rsid w:val="00854BE1"/>
    <w:rsid w:val="00854F3D"/>
    <w:rsid w:val="008551DA"/>
    <w:rsid w:val="00856826"/>
    <w:rsid w:val="00856C2A"/>
    <w:rsid w:val="008573F9"/>
    <w:rsid w:val="00857EAA"/>
    <w:rsid w:val="00857F5B"/>
    <w:rsid w:val="008602D5"/>
    <w:rsid w:val="00860AA6"/>
    <w:rsid w:val="00860E8C"/>
    <w:rsid w:val="00861D40"/>
    <w:rsid w:val="00862339"/>
    <w:rsid w:val="008627F9"/>
    <w:rsid w:val="00862C6E"/>
    <w:rsid w:val="00862EA3"/>
    <w:rsid w:val="008634C8"/>
    <w:rsid w:val="0086381F"/>
    <w:rsid w:val="008639A1"/>
    <w:rsid w:val="00864390"/>
    <w:rsid w:val="0086468A"/>
    <w:rsid w:val="00865187"/>
    <w:rsid w:val="0086688D"/>
    <w:rsid w:val="008668C6"/>
    <w:rsid w:val="00866E69"/>
    <w:rsid w:val="008672E6"/>
    <w:rsid w:val="00867882"/>
    <w:rsid w:val="008678E8"/>
    <w:rsid w:val="00867AD4"/>
    <w:rsid w:val="0087083B"/>
    <w:rsid w:val="008719B4"/>
    <w:rsid w:val="0087211A"/>
    <w:rsid w:val="00872368"/>
    <w:rsid w:val="008723CB"/>
    <w:rsid w:val="00872576"/>
    <w:rsid w:val="0087284E"/>
    <w:rsid w:val="00872C93"/>
    <w:rsid w:val="00872E73"/>
    <w:rsid w:val="008739D3"/>
    <w:rsid w:val="00873B7F"/>
    <w:rsid w:val="0087415E"/>
    <w:rsid w:val="008741BE"/>
    <w:rsid w:val="008741F2"/>
    <w:rsid w:val="00874737"/>
    <w:rsid w:val="00874BD5"/>
    <w:rsid w:val="00875ED5"/>
    <w:rsid w:val="00875F04"/>
    <w:rsid w:val="0087631D"/>
    <w:rsid w:val="008769CF"/>
    <w:rsid w:val="00876AAE"/>
    <w:rsid w:val="00876BB2"/>
    <w:rsid w:val="00877512"/>
    <w:rsid w:val="00877A7F"/>
    <w:rsid w:val="00877AF3"/>
    <w:rsid w:val="0088000A"/>
    <w:rsid w:val="00880115"/>
    <w:rsid w:val="00880E26"/>
    <w:rsid w:val="008811A3"/>
    <w:rsid w:val="008812CC"/>
    <w:rsid w:val="0088134F"/>
    <w:rsid w:val="00881641"/>
    <w:rsid w:val="00881A97"/>
    <w:rsid w:val="008827AE"/>
    <w:rsid w:val="00882818"/>
    <w:rsid w:val="0088323B"/>
    <w:rsid w:val="008848C1"/>
    <w:rsid w:val="00884BA9"/>
    <w:rsid w:val="00885B1B"/>
    <w:rsid w:val="00885F94"/>
    <w:rsid w:val="008861BF"/>
    <w:rsid w:val="00886784"/>
    <w:rsid w:val="00886C23"/>
    <w:rsid w:val="00887CD9"/>
    <w:rsid w:val="00890890"/>
    <w:rsid w:val="00890ADA"/>
    <w:rsid w:val="008921DA"/>
    <w:rsid w:val="008925EE"/>
    <w:rsid w:val="008928BE"/>
    <w:rsid w:val="00892B17"/>
    <w:rsid w:val="008930A0"/>
    <w:rsid w:val="0089450F"/>
    <w:rsid w:val="008946DE"/>
    <w:rsid w:val="00894767"/>
    <w:rsid w:val="00894C31"/>
    <w:rsid w:val="0089505B"/>
    <w:rsid w:val="008952D6"/>
    <w:rsid w:val="008954EB"/>
    <w:rsid w:val="0089564E"/>
    <w:rsid w:val="00895F47"/>
    <w:rsid w:val="00896633"/>
    <w:rsid w:val="00896800"/>
    <w:rsid w:val="008968D3"/>
    <w:rsid w:val="00897179"/>
    <w:rsid w:val="00897638"/>
    <w:rsid w:val="008976C3"/>
    <w:rsid w:val="00897F01"/>
    <w:rsid w:val="008A02F8"/>
    <w:rsid w:val="008A19FD"/>
    <w:rsid w:val="008A1E94"/>
    <w:rsid w:val="008A295E"/>
    <w:rsid w:val="008A34E2"/>
    <w:rsid w:val="008A369B"/>
    <w:rsid w:val="008A3D28"/>
    <w:rsid w:val="008A4BFD"/>
    <w:rsid w:val="008A6092"/>
    <w:rsid w:val="008A63D8"/>
    <w:rsid w:val="008A68AA"/>
    <w:rsid w:val="008B0266"/>
    <w:rsid w:val="008B05AD"/>
    <w:rsid w:val="008B0EC1"/>
    <w:rsid w:val="008B1429"/>
    <w:rsid w:val="008B1F41"/>
    <w:rsid w:val="008B2488"/>
    <w:rsid w:val="008B2C9E"/>
    <w:rsid w:val="008B2CEB"/>
    <w:rsid w:val="008B3130"/>
    <w:rsid w:val="008B32D3"/>
    <w:rsid w:val="008B348D"/>
    <w:rsid w:val="008B393E"/>
    <w:rsid w:val="008B395D"/>
    <w:rsid w:val="008B3A9B"/>
    <w:rsid w:val="008B4042"/>
    <w:rsid w:val="008B47EE"/>
    <w:rsid w:val="008B4844"/>
    <w:rsid w:val="008B4A08"/>
    <w:rsid w:val="008B4C76"/>
    <w:rsid w:val="008B5278"/>
    <w:rsid w:val="008B57DD"/>
    <w:rsid w:val="008B5B22"/>
    <w:rsid w:val="008B5D42"/>
    <w:rsid w:val="008B5DC8"/>
    <w:rsid w:val="008B5F5A"/>
    <w:rsid w:val="008B668C"/>
    <w:rsid w:val="008B66C2"/>
    <w:rsid w:val="008C026B"/>
    <w:rsid w:val="008C061B"/>
    <w:rsid w:val="008C0715"/>
    <w:rsid w:val="008C0BF5"/>
    <w:rsid w:val="008C0D72"/>
    <w:rsid w:val="008C1015"/>
    <w:rsid w:val="008C1D1F"/>
    <w:rsid w:val="008C2E13"/>
    <w:rsid w:val="008C2EC2"/>
    <w:rsid w:val="008C3023"/>
    <w:rsid w:val="008C31DB"/>
    <w:rsid w:val="008C3E42"/>
    <w:rsid w:val="008C44C4"/>
    <w:rsid w:val="008C492D"/>
    <w:rsid w:val="008C4C00"/>
    <w:rsid w:val="008C54F6"/>
    <w:rsid w:val="008C55DB"/>
    <w:rsid w:val="008C58C4"/>
    <w:rsid w:val="008C5B07"/>
    <w:rsid w:val="008C5B5D"/>
    <w:rsid w:val="008C5DBA"/>
    <w:rsid w:val="008C67D2"/>
    <w:rsid w:val="008C6B58"/>
    <w:rsid w:val="008C6C0F"/>
    <w:rsid w:val="008D002C"/>
    <w:rsid w:val="008D0291"/>
    <w:rsid w:val="008D08AD"/>
    <w:rsid w:val="008D0C56"/>
    <w:rsid w:val="008D15B3"/>
    <w:rsid w:val="008D1931"/>
    <w:rsid w:val="008D2420"/>
    <w:rsid w:val="008D2657"/>
    <w:rsid w:val="008D2D3F"/>
    <w:rsid w:val="008D3556"/>
    <w:rsid w:val="008D3A16"/>
    <w:rsid w:val="008D3C27"/>
    <w:rsid w:val="008D3D8A"/>
    <w:rsid w:val="008D3ECF"/>
    <w:rsid w:val="008D42D4"/>
    <w:rsid w:val="008D4319"/>
    <w:rsid w:val="008D4AE6"/>
    <w:rsid w:val="008D4C45"/>
    <w:rsid w:val="008D4CA8"/>
    <w:rsid w:val="008D6149"/>
    <w:rsid w:val="008D65DE"/>
    <w:rsid w:val="008D7828"/>
    <w:rsid w:val="008E00E4"/>
    <w:rsid w:val="008E0C55"/>
    <w:rsid w:val="008E0C7D"/>
    <w:rsid w:val="008E0C7E"/>
    <w:rsid w:val="008E0F00"/>
    <w:rsid w:val="008E18A7"/>
    <w:rsid w:val="008E1AE1"/>
    <w:rsid w:val="008E1BBE"/>
    <w:rsid w:val="008E2100"/>
    <w:rsid w:val="008E2592"/>
    <w:rsid w:val="008E2634"/>
    <w:rsid w:val="008E33FC"/>
    <w:rsid w:val="008E3584"/>
    <w:rsid w:val="008E36A5"/>
    <w:rsid w:val="008E37AE"/>
    <w:rsid w:val="008E39F1"/>
    <w:rsid w:val="008E462C"/>
    <w:rsid w:val="008E468C"/>
    <w:rsid w:val="008E499C"/>
    <w:rsid w:val="008E57A9"/>
    <w:rsid w:val="008E5970"/>
    <w:rsid w:val="008E6987"/>
    <w:rsid w:val="008E69AC"/>
    <w:rsid w:val="008F052E"/>
    <w:rsid w:val="008F11B2"/>
    <w:rsid w:val="008F157F"/>
    <w:rsid w:val="008F1942"/>
    <w:rsid w:val="008F25A9"/>
    <w:rsid w:val="008F27AC"/>
    <w:rsid w:val="008F2C7D"/>
    <w:rsid w:val="008F315D"/>
    <w:rsid w:val="008F36A0"/>
    <w:rsid w:val="008F37DE"/>
    <w:rsid w:val="008F3E6A"/>
    <w:rsid w:val="008F3E7F"/>
    <w:rsid w:val="008F434E"/>
    <w:rsid w:val="008F43DD"/>
    <w:rsid w:val="008F44A4"/>
    <w:rsid w:val="008F4873"/>
    <w:rsid w:val="008F5157"/>
    <w:rsid w:val="008F5204"/>
    <w:rsid w:val="008F550D"/>
    <w:rsid w:val="008F5C42"/>
    <w:rsid w:val="008F5C9E"/>
    <w:rsid w:val="008F627E"/>
    <w:rsid w:val="008F6994"/>
    <w:rsid w:val="008F69FE"/>
    <w:rsid w:val="008F6CCF"/>
    <w:rsid w:val="008F70EF"/>
    <w:rsid w:val="008F75A3"/>
    <w:rsid w:val="008F78A6"/>
    <w:rsid w:val="00900C56"/>
    <w:rsid w:val="009022EC"/>
    <w:rsid w:val="00902CF4"/>
    <w:rsid w:val="0090341C"/>
    <w:rsid w:val="009039B7"/>
    <w:rsid w:val="00903F6D"/>
    <w:rsid w:val="00904014"/>
    <w:rsid w:val="00904688"/>
    <w:rsid w:val="009048CA"/>
    <w:rsid w:val="009052D1"/>
    <w:rsid w:val="00906461"/>
    <w:rsid w:val="0090650E"/>
    <w:rsid w:val="0090671F"/>
    <w:rsid w:val="00906758"/>
    <w:rsid w:val="00906BFE"/>
    <w:rsid w:val="00907041"/>
    <w:rsid w:val="00907538"/>
    <w:rsid w:val="0090796B"/>
    <w:rsid w:val="00907C15"/>
    <w:rsid w:val="00910054"/>
    <w:rsid w:val="00910403"/>
    <w:rsid w:val="00910451"/>
    <w:rsid w:val="009104E8"/>
    <w:rsid w:val="009104FB"/>
    <w:rsid w:val="0091063E"/>
    <w:rsid w:val="00910AE9"/>
    <w:rsid w:val="00910E51"/>
    <w:rsid w:val="0091132A"/>
    <w:rsid w:val="00912FF5"/>
    <w:rsid w:val="009134EC"/>
    <w:rsid w:val="009136D1"/>
    <w:rsid w:val="0091436A"/>
    <w:rsid w:val="0091456F"/>
    <w:rsid w:val="009151B5"/>
    <w:rsid w:val="0091523B"/>
    <w:rsid w:val="00915540"/>
    <w:rsid w:val="00915618"/>
    <w:rsid w:val="009158DD"/>
    <w:rsid w:val="00915FAC"/>
    <w:rsid w:val="00916E2B"/>
    <w:rsid w:val="00917094"/>
    <w:rsid w:val="00917394"/>
    <w:rsid w:val="00917B2F"/>
    <w:rsid w:val="00920F71"/>
    <w:rsid w:val="00921052"/>
    <w:rsid w:val="00921788"/>
    <w:rsid w:val="009219AD"/>
    <w:rsid w:val="0092272B"/>
    <w:rsid w:val="009228F3"/>
    <w:rsid w:val="00922B38"/>
    <w:rsid w:val="00922E29"/>
    <w:rsid w:val="00922F04"/>
    <w:rsid w:val="0092311A"/>
    <w:rsid w:val="00923637"/>
    <w:rsid w:val="00923A81"/>
    <w:rsid w:val="00923CA3"/>
    <w:rsid w:val="00923D18"/>
    <w:rsid w:val="0092428A"/>
    <w:rsid w:val="009242D6"/>
    <w:rsid w:val="0092480A"/>
    <w:rsid w:val="00925B1B"/>
    <w:rsid w:val="009269E5"/>
    <w:rsid w:val="00927842"/>
    <w:rsid w:val="009278D7"/>
    <w:rsid w:val="00927A15"/>
    <w:rsid w:val="00927A7A"/>
    <w:rsid w:val="00927DA9"/>
    <w:rsid w:val="00927E35"/>
    <w:rsid w:val="009300FB"/>
    <w:rsid w:val="00930EB6"/>
    <w:rsid w:val="00932FE7"/>
    <w:rsid w:val="0093387D"/>
    <w:rsid w:val="00933912"/>
    <w:rsid w:val="0093470F"/>
    <w:rsid w:val="00934CD5"/>
    <w:rsid w:val="00935FEE"/>
    <w:rsid w:val="009365AC"/>
    <w:rsid w:val="00936966"/>
    <w:rsid w:val="00937C7B"/>
    <w:rsid w:val="009405A0"/>
    <w:rsid w:val="00940615"/>
    <w:rsid w:val="0094094A"/>
    <w:rsid w:val="00940D5A"/>
    <w:rsid w:val="00940EBA"/>
    <w:rsid w:val="00941193"/>
    <w:rsid w:val="009418EB"/>
    <w:rsid w:val="00941A29"/>
    <w:rsid w:val="00941B82"/>
    <w:rsid w:val="0094251F"/>
    <w:rsid w:val="00942BDF"/>
    <w:rsid w:val="00942E82"/>
    <w:rsid w:val="00942EA7"/>
    <w:rsid w:val="00943105"/>
    <w:rsid w:val="00943247"/>
    <w:rsid w:val="00943340"/>
    <w:rsid w:val="009447D6"/>
    <w:rsid w:val="00944914"/>
    <w:rsid w:val="0094513D"/>
    <w:rsid w:val="0094519E"/>
    <w:rsid w:val="009458DA"/>
    <w:rsid w:val="00945940"/>
    <w:rsid w:val="009460E6"/>
    <w:rsid w:val="009462F3"/>
    <w:rsid w:val="00946C04"/>
    <w:rsid w:val="00946D57"/>
    <w:rsid w:val="00946EFC"/>
    <w:rsid w:val="009478D8"/>
    <w:rsid w:val="00947CF8"/>
    <w:rsid w:val="009508E5"/>
    <w:rsid w:val="00950AE6"/>
    <w:rsid w:val="00952FB2"/>
    <w:rsid w:val="0095309A"/>
    <w:rsid w:val="009534DE"/>
    <w:rsid w:val="0095394D"/>
    <w:rsid w:val="00954577"/>
    <w:rsid w:val="00954AB1"/>
    <w:rsid w:val="00955933"/>
    <w:rsid w:val="00956289"/>
    <w:rsid w:val="00956893"/>
    <w:rsid w:val="009569AE"/>
    <w:rsid w:val="00956E3F"/>
    <w:rsid w:val="00957184"/>
    <w:rsid w:val="009572DB"/>
    <w:rsid w:val="00957592"/>
    <w:rsid w:val="0095767C"/>
    <w:rsid w:val="009579F2"/>
    <w:rsid w:val="00957FA7"/>
    <w:rsid w:val="009605A3"/>
    <w:rsid w:val="00960A93"/>
    <w:rsid w:val="00960BB7"/>
    <w:rsid w:val="009611CB"/>
    <w:rsid w:val="009612EB"/>
    <w:rsid w:val="00961C15"/>
    <w:rsid w:val="00962654"/>
    <w:rsid w:val="009637A2"/>
    <w:rsid w:val="00963DCE"/>
    <w:rsid w:val="00963FFC"/>
    <w:rsid w:val="0096414F"/>
    <w:rsid w:val="00964C0D"/>
    <w:rsid w:val="0096516C"/>
    <w:rsid w:val="00965270"/>
    <w:rsid w:val="009653A6"/>
    <w:rsid w:val="009656E4"/>
    <w:rsid w:val="00965B79"/>
    <w:rsid w:val="00965EB9"/>
    <w:rsid w:val="0096666B"/>
    <w:rsid w:val="009667B4"/>
    <w:rsid w:val="00966E2D"/>
    <w:rsid w:val="009673A0"/>
    <w:rsid w:val="0096765B"/>
    <w:rsid w:val="00967721"/>
    <w:rsid w:val="00967840"/>
    <w:rsid w:val="00967E43"/>
    <w:rsid w:val="00970455"/>
    <w:rsid w:val="00971042"/>
    <w:rsid w:val="0097184E"/>
    <w:rsid w:val="00971CE0"/>
    <w:rsid w:val="00972275"/>
    <w:rsid w:val="00972B49"/>
    <w:rsid w:val="00972E6B"/>
    <w:rsid w:val="00972F06"/>
    <w:rsid w:val="00973109"/>
    <w:rsid w:val="0097393C"/>
    <w:rsid w:val="0097459C"/>
    <w:rsid w:val="00974DEA"/>
    <w:rsid w:val="00974FF4"/>
    <w:rsid w:val="009751D0"/>
    <w:rsid w:val="00975375"/>
    <w:rsid w:val="00975821"/>
    <w:rsid w:val="009758C4"/>
    <w:rsid w:val="00976432"/>
    <w:rsid w:val="00976719"/>
    <w:rsid w:val="00977589"/>
    <w:rsid w:val="00977BA8"/>
    <w:rsid w:val="00977CAD"/>
    <w:rsid w:val="0098067F"/>
    <w:rsid w:val="0098103A"/>
    <w:rsid w:val="0098158C"/>
    <w:rsid w:val="00981A89"/>
    <w:rsid w:val="009828DC"/>
    <w:rsid w:val="00982EAC"/>
    <w:rsid w:val="009833EA"/>
    <w:rsid w:val="00983793"/>
    <w:rsid w:val="00984260"/>
    <w:rsid w:val="00984307"/>
    <w:rsid w:val="0098439E"/>
    <w:rsid w:val="00984672"/>
    <w:rsid w:val="00984F65"/>
    <w:rsid w:val="00985011"/>
    <w:rsid w:val="0098516C"/>
    <w:rsid w:val="0098549D"/>
    <w:rsid w:val="0098574E"/>
    <w:rsid w:val="00985E57"/>
    <w:rsid w:val="0098615F"/>
    <w:rsid w:val="00986280"/>
    <w:rsid w:val="00986C88"/>
    <w:rsid w:val="00986D24"/>
    <w:rsid w:val="00986F6B"/>
    <w:rsid w:val="00987FD0"/>
    <w:rsid w:val="0099045B"/>
    <w:rsid w:val="00990689"/>
    <w:rsid w:val="009914B6"/>
    <w:rsid w:val="00991799"/>
    <w:rsid w:val="009917B3"/>
    <w:rsid w:val="00992521"/>
    <w:rsid w:val="00992A71"/>
    <w:rsid w:val="00993926"/>
    <w:rsid w:val="00993B47"/>
    <w:rsid w:val="00993F2D"/>
    <w:rsid w:val="009953CE"/>
    <w:rsid w:val="00995767"/>
    <w:rsid w:val="0099630A"/>
    <w:rsid w:val="0099659F"/>
    <w:rsid w:val="009966E4"/>
    <w:rsid w:val="009966FA"/>
    <w:rsid w:val="00996741"/>
    <w:rsid w:val="0099722D"/>
    <w:rsid w:val="00997529"/>
    <w:rsid w:val="009976BC"/>
    <w:rsid w:val="00997BF8"/>
    <w:rsid w:val="00997CD8"/>
    <w:rsid w:val="009A11E4"/>
    <w:rsid w:val="009A16E5"/>
    <w:rsid w:val="009A17A0"/>
    <w:rsid w:val="009A1E40"/>
    <w:rsid w:val="009A2262"/>
    <w:rsid w:val="009A27C3"/>
    <w:rsid w:val="009A27E1"/>
    <w:rsid w:val="009A28E3"/>
    <w:rsid w:val="009A2B60"/>
    <w:rsid w:val="009A2B87"/>
    <w:rsid w:val="009A2BEA"/>
    <w:rsid w:val="009A2EF9"/>
    <w:rsid w:val="009A30F1"/>
    <w:rsid w:val="009A3A7B"/>
    <w:rsid w:val="009A3CBF"/>
    <w:rsid w:val="009A42FF"/>
    <w:rsid w:val="009A4478"/>
    <w:rsid w:val="009A4526"/>
    <w:rsid w:val="009A490F"/>
    <w:rsid w:val="009A56BD"/>
    <w:rsid w:val="009A67F5"/>
    <w:rsid w:val="009A6A43"/>
    <w:rsid w:val="009B00CA"/>
    <w:rsid w:val="009B01AA"/>
    <w:rsid w:val="009B0652"/>
    <w:rsid w:val="009B0939"/>
    <w:rsid w:val="009B0AF6"/>
    <w:rsid w:val="009B2E4C"/>
    <w:rsid w:val="009B30CE"/>
    <w:rsid w:val="009B353C"/>
    <w:rsid w:val="009B4821"/>
    <w:rsid w:val="009B492C"/>
    <w:rsid w:val="009B4D39"/>
    <w:rsid w:val="009B50D6"/>
    <w:rsid w:val="009B5114"/>
    <w:rsid w:val="009B5A79"/>
    <w:rsid w:val="009B5EA8"/>
    <w:rsid w:val="009B60C3"/>
    <w:rsid w:val="009B7235"/>
    <w:rsid w:val="009B7EEB"/>
    <w:rsid w:val="009C013D"/>
    <w:rsid w:val="009C075A"/>
    <w:rsid w:val="009C084E"/>
    <w:rsid w:val="009C0A69"/>
    <w:rsid w:val="009C0C59"/>
    <w:rsid w:val="009C10DB"/>
    <w:rsid w:val="009C113E"/>
    <w:rsid w:val="009C1FA0"/>
    <w:rsid w:val="009C2D77"/>
    <w:rsid w:val="009C2FDB"/>
    <w:rsid w:val="009C39A0"/>
    <w:rsid w:val="009C3F1B"/>
    <w:rsid w:val="009C4113"/>
    <w:rsid w:val="009C4375"/>
    <w:rsid w:val="009C4765"/>
    <w:rsid w:val="009C47B6"/>
    <w:rsid w:val="009C47D2"/>
    <w:rsid w:val="009C47E3"/>
    <w:rsid w:val="009C4C41"/>
    <w:rsid w:val="009C590C"/>
    <w:rsid w:val="009C5F6A"/>
    <w:rsid w:val="009C60A2"/>
    <w:rsid w:val="009C64C7"/>
    <w:rsid w:val="009C7BD7"/>
    <w:rsid w:val="009D0070"/>
    <w:rsid w:val="009D02FF"/>
    <w:rsid w:val="009D1383"/>
    <w:rsid w:val="009D180F"/>
    <w:rsid w:val="009D2275"/>
    <w:rsid w:val="009D4A76"/>
    <w:rsid w:val="009D4AE3"/>
    <w:rsid w:val="009D4C62"/>
    <w:rsid w:val="009D5240"/>
    <w:rsid w:val="009D53CF"/>
    <w:rsid w:val="009D64BE"/>
    <w:rsid w:val="009D6B9A"/>
    <w:rsid w:val="009D7980"/>
    <w:rsid w:val="009D7BE9"/>
    <w:rsid w:val="009D7CE4"/>
    <w:rsid w:val="009E0EFD"/>
    <w:rsid w:val="009E0FFB"/>
    <w:rsid w:val="009E15DC"/>
    <w:rsid w:val="009E1785"/>
    <w:rsid w:val="009E203B"/>
    <w:rsid w:val="009E27B7"/>
    <w:rsid w:val="009E2928"/>
    <w:rsid w:val="009E2B35"/>
    <w:rsid w:val="009E36C4"/>
    <w:rsid w:val="009E3C08"/>
    <w:rsid w:val="009E491B"/>
    <w:rsid w:val="009E57C9"/>
    <w:rsid w:val="009E5E78"/>
    <w:rsid w:val="009E62A0"/>
    <w:rsid w:val="009E66A1"/>
    <w:rsid w:val="009E6ED7"/>
    <w:rsid w:val="009E6FE0"/>
    <w:rsid w:val="009E7165"/>
    <w:rsid w:val="009E76A0"/>
    <w:rsid w:val="009E77B2"/>
    <w:rsid w:val="009E7836"/>
    <w:rsid w:val="009E7C08"/>
    <w:rsid w:val="009E7C28"/>
    <w:rsid w:val="009E7DDD"/>
    <w:rsid w:val="009F034A"/>
    <w:rsid w:val="009F0463"/>
    <w:rsid w:val="009F0E2C"/>
    <w:rsid w:val="009F0E63"/>
    <w:rsid w:val="009F1CEE"/>
    <w:rsid w:val="009F20B6"/>
    <w:rsid w:val="009F20FD"/>
    <w:rsid w:val="009F29EA"/>
    <w:rsid w:val="009F2A45"/>
    <w:rsid w:val="009F2DB7"/>
    <w:rsid w:val="009F323E"/>
    <w:rsid w:val="009F3602"/>
    <w:rsid w:val="009F395E"/>
    <w:rsid w:val="009F4196"/>
    <w:rsid w:val="009F46C3"/>
    <w:rsid w:val="009F49C6"/>
    <w:rsid w:val="009F4DA0"/>
    <w:rsid w:val="009F5009"/>
    <w:rsid w:val="009F51CB"/>
    <w:rsid w:val="009F5A8F"/>
    <w:rsid w:val="009F5E2A"/>
    <w:rsid w:val="009F5FB0"/>
    <w:rsid w:val="009F625F"/>
    <w:rsid w:val="009F6537"/>
    <w:rsid w:val="009F6631"/>
    <w:rsid w:val="009F67A4"/>
    <w:rsid w:val="009F6B65"/>
    <w:rsid w:val="009F703F"/>
    <w:rsid w:val="009F7D10"/>
    <w:rsid w:val="009F7E19"/>
    <w:rsid w:val="009F7EB3"/>
    <w:rsid w:val="009F7F22"/>
    <w:rsid w:val="00A0089E"/>
    <w:rsid w:val="00A011D5"/>
    <w:rsid w:val="00A0160A"/>
    <w:rsid w:val="00A019C8"/>
    <w:rsid w:val="00A02933"/>
    <w:rsid w:val="00A02BF2"/>
    <w:rsid w:val="00A02CB4"/>
    <w:rsid w:val="00A02F43"/>
    <w:rsid w:val="00A03046"/>
    <w:rsid w:val="00A0345A"/>
    <w:rsid w:val="00A03493"/>
    <w:rsid w:val="00A034C1"/>
    <w:rsid w:val="00A036E2"/>
    <w:rsid w:val="00A03AF4"/>
    <w:rsid w:val="00A04198"/>
    <w:rsid w:val="00A04433"/>
    <w:rsid w:val="00A0452D"/>
    <w:rsid w:val="00A04680"/>
    <w:rsid w:val="00A06048"/>
    <w:rsid w:val="00A0637A"/>
    <w:rsid w:val="00A069A9"/>
    <w:rsid w:val="00A075AF"/>
    <w:rsid w:val="00A07956"/>
    <w:rsid w:val="00A07FA0"/>
    <w:rsid w:val="00A10AC2"/>
    <w:rsid w:val="00A10B0D"/>
    <w:rsid w:val="00A10D47"/>
    <w:rsid w:val="00A11182"/>
    <w:rsid w:val="00A111FB"/>
    <w:rsid w:val="00A118F2"/>
    <w:rsid w:val="00A11FF6"/>
    <w:rsid w:val="00A129B8"/>
    <w:rsid w:val="00A12F74"/>
    <w:rsid w:val="00A1386D"/>
    <w:rsid w:val="00A147CD"/>
    <w:rsid w:val="00A160A5"/>
    <w:rsid w:val="00A16204"/>
    <w:rsid w:val="00A16304"/>
    <w:rsid w:val="00A166A1"/>
    <w:rsid w:val="00A16FD1"/>
    <w:rsid w:val="00A173A0"/>
    <w:rsid w:val="00A17C51"/>
    <w:rsid w:val="00A17E96"/>
    <w:rsid w:val="00A209B6"/>
    <w:rsid w:val="00A20B4A"/>
    <w:rsid w:val="00A20ED3"/>
    <w:rsid w:val="00A21629"/>
    <w:rsid w:val="00A21787"/>
    <w:rsid w:val="00A2187D"/>
    <w:rsid w:val="00A21CEB"/>
    <w:rsid w:val="00A220D7"/>
    <w:rsid w:val="00A22F29"/>
    <w:rsid w:val="00A236F5"/>
    <w:rsid w:val="00A23FF9"/>
    <w:rsid w:val="00A24314"/>
    <w:rsid w:val="00A2449A"/>
    <w:rsid w:val="00A245B3"/>
    <w:rsid w:val="00A2474C"/>
    <w:rsid w:val="00A2506D"/>
    <w:rsid w:val="00A250F2"/>
    <w:rsid w:val="00A2545A"/>
    <w:rsid w:val="00A2561B"/>
    <w:rsid w:val="00A25E16"/>
    <w:rsid w:val="00A25E85"/>
    <w:rsid w:val="00A26807"/>
    <w:rsid w:val="00A26D36"/>
    <w:rsid w:val="00A26FC4"/>
    <w:rsid w:val="00A2731B"/>
    <w:rsid w:val="00A27F84"/>
    <w:rsid w:val="00A30014"/>
    <w:rsid w:val="00A3005D"/>
    <w:rsid w:val="00A300FF"/>
    <w:rsid w:val="00A303C4"/>
    <w:rsid w:val="00A303E5"/>
    <w:rsid w:val="00A3064A"/>
    <w:rsid w:val="00A30C08"/>
    <w:rsid w:val="00A312CA"/>
    <w:rsid w:val="00A31492"/>
    <w:rsid w:val="00A31625"/>
    <w:rsid w:val="00A31C22"/>
    <w:rsid w:val="00A32562"/>
    <w:rsid w:val="00A32A77"/>
    <w:rsid w:val="00A32CCF"/>
    <w:rsid w:val="00A337E2"/>
    <w:rsid w:val="00A33FD4"/>
    <w:rsid w:val="00A3457E"/>
    <w:rsid w:val="00A34EE8"/>
    <w:rsid w:val="00A34F54"/>
    <w:rsid w:val="00A34FAE"/>
    <w:rsid w:val="00A35324"/>
    <w:rsid w:val="00A35637"/>
    <w:rsid w:val="00A35837"/>
    <w:rsid w:val="00A358FA"/>
    <w:rsid w:val="00A35CB3"/>
    <w:rsid w:val="00A364B7"/>
    <w:rsid w:val="00A369C8"/>
    <w:rsid w:val="00A36BE5"/>
    <w:rsid w:val="00A36C5A"/>
    <w:rsid w:val="00A37323"/>
    <w:rsid w:val="00A375D1"/>
    <w:rsid w:val="00A40601"/>
    <w:rsid w:val="00A408A1"/>
    <w:rsid w:val="00A40F90"/>
    <w:rsid w:val="00A4149F"/>
    <w:rsid w:val="00A41810"/>
    <w:rsid w:val="00A41CB8"/>
    <w:rsid w:val="00A420B2"/>
    <w:rsid w:val="00A42665"/>
    <w:rsid w:val="00A427F7"/>
    <w:rsid w:val="00A428ED"/>
    <w:rsid w:val="00A42E60"/>
    <w:rsid w:val="00A42ED4"/>
    <w:rsid w:val="00A439B6"/>
    <w:rsid w:val="00A4465D"/>
    <w:rsid w:val="00A447E0"/>
    <w:rsid w:val="00A44D6B"/>
    <w:rsid w:val="00A45FC7"/>
    <w:rsid w:val="00A468C9"/>
    <w:rsid w:val="00A469C2"/>
    <w:rsid w:val="00A46FB0"/>
    <w:rsid w:val="00A507A4"/>
    <w:rsid w:val="00A50C39"/>
    <w:rsid w:val="00A50D5E"/>
    <w:rsid w:val="00A51050"/>
    <w:rsid w:val="00A51F65"/>
    <w:rsid w:val="00A5210F"/>
    <w:rsid w:val="00A52177"/>
    <w:rsid w:val="00A5237C"/>
    <w:rsid w:val="00A525CF"/>
    <w:rsid w:val="00A52EC1"/>
    <w:rsid w:val="00A5385A"/>
    <w:rsid w:val="00A538CF"/>
    <w:rsid w:val="00A5399E"/>
    <w:rsid w:val="00A53E04"/>
    <w:rsid w:val="00A53FCD"/>
    <w:rsid w:val="00A54198"/>
    <w:rsid w:val="00A5446A"/>
    <w:rsid w:val="00A54562"/>
    <w:rsid w:val="00A54E61"/>
    <w:rsid w:val="00A54F5B"/>
    <w:rsid w:val="00A551FD"/>
    <w:rsid w:val="00A55280"/>
    <w:rsid w:val="00A553DF"/>
    <w:rsid w:val="00A55707"/>
    <w:rsid w:val="00A55887"/>
    <w:rsid w:val="00A55A01"/>
    <w:rsid w:val="00A55C6B"/>
    <w:rsid w:val="00A55E28"/>
    <w:rsid w:val="00A55ED0"/>
    <w:rsid w:val="00A560DC"/>
    <w:rsid w:val="00A56457"/>
    <w:rsid w:val="00A5663A"/>
    <w:rsid w:val="00A5718F"/>
    <w:rsid w:val="00A5722F"/>
    <w:rsid w:val="00A57DCF"/>
    <w:rsid w:val="00A57FF9"/>
    <w:rsid w:val="00A602E9"/>
    <w:rsid w:val="00A608EB"/>
    <w:rsid w:val="00A60929"/>
    <w:rsid w:val="00A609EC"/>
    <w:rsid w:val="00A618E9"/>
    <w:rsid w:val="00A619EF"/>
    <w:rsid w:val="00A622A6"/>
    <w:rsid w:val="00A623F6"/>
    <w:rsid w:val="00A62422"/>
    <w:rsid w:val="00A62465"/>
    <w:rsid w:val="00A6304F"/>
    <w:rsid w:val="00A6330A"/>
    <w:rsid w:val="00A63430"/>
    <w:rsid w:val="00A636EE"/>
    <w:rsid w:val="00A63BFA"/>
    <w:rsid w:val="00A64040"/>
    <w:rsid w:val="00A641D2"/>
    <w:rsid w:val="00A642B5"/>
    <w:rsid w:val="00A64465"/>
    <w:rsid w:val="00A64ED5"/>
    <w:rsid w:val="00A65300"/>
    <w:rsid w:val="00A65EA1"/>
    <w:rsid w:val="00A665BF"/>
    <w:rsid w:val="00A66806"/>
    <w:rsid w:val="00A66CB3"/>
    <w:rsid w:val="00A67438"/>
    <w:rsid w:val="00A67ACC"/>
    <w:rsid w:val="00A712B9"/>
    <w:rsid w:val="00A7154D"/>
    <w:rsid w:val="00A721EF"/>
    <w:rsid w:val="00A72754"/>
    <w:rsid w:val="00A727A2"/>
    <w:rsid w:val="00A72A77"/>
    <w:rsid w:val="00A7345E"/>
    <w:rsid w:val="00A73F51"/>
    <w:rsid w:val="00A746A0"/>
    <w:rsid w:val="00A74F9C"/>
    <w:rsid w:val="00A75124"/>
    <w:rsid w:val="00A7548F"/>
    <w:rsid w:val="00A75526"/>
    <w:rsid w:val="00A7580A"/>
    <w:rsid w:val="00A76240"/>
    <w:rsid w:val="00A7728E"/>
    <w:rsid w:val="00A774B5"/>
    <w:rsid w:val="00A77A60"/>
    <w:rsid w:val="00A77BD6"/>
    <w:rsid w:val="00A802FE"/>
    <w:rsid w:val="00A80338"/>
    <w:rsid w:val="00A80EE0"/>
    <w:rsid w:val="00A816DD"/>
    <w:rsid w:val="00A818C4"/>
    <w:rsid w:val="00A81D9B"/>
    <w:rsid w:val="00A822D4"/>
    <w:rsid w:val="00A82573"/>
    <w:rsid w:val="00A82DAE"/>
    <w:rsid w:val="00A82F19"/>
    <w:rsid w:val="00A8387E"/>
    <w:rsid w:val="00A83941"/>
    <w:rsid w:val="00A83BB3"/>
    <w:rsid w:val="00A8447B"/>
    <w:rsid w:val="00A84ACA"/>
    <w:rsid w:val="00A84C82"/>
    <w:rsid w:val="00A85571"/>
    <w:rsid w:val="00A8604E"/>
    <w:rsid w:val="00A866EE"/>
    <w:rsid w:val="00A867E2"/>
    <w:rsid w:val="00A86B31"/>
    <w:rsid w:val="00A87D6A"/>
    <w:rsid w:val="00A87E81"/>
    <w:rsid w:val="00A90025"/>
    <w:rsid w:val="00A90123"/>
    <w:rsid w:val="00A902A8"/>
    <w:rsid w:val="00A90331"/>
    <w:rsid w:val="00A90FAC"/>
    <w:rsid w:val="00A911DD"/>
    <w:rsid w:val="00A9157F"/>
    <w:rsid w:val="00A916A9"/>
    <w:rsid w:val="00A9191D"/>
    <w:rsid w:val="00A922A9"/>
    <w:rsid w:val="00A93199"/>
    <w:rsid w:val="00A93320"/>
    <w:rsid w:val="00A93645"/>
    <w:rsid w:val="00A93AB6"/>
    <w:rsid w:val="00A93FB5"/>
    <w:rsid w:val="00A94DA9"/>
    <w:rsid w:val="00A951F1"/>
    <w:rsid w:val="00A95215"/>
    <w:rsid w:val="00A95316"/>
    <w:rsid w:val="00A957C4"/>
    <w:rsid w:val="00A95AE5"/>
    <w:rsid w:val="00A964F3"/>
    <w:rsid w:val="00A965C6"/>
    <w:rsid w:val="00A965D5"/>
    <w:rsid w:val="00A966CD"/>
    <w:rsid w:val="00A967BF"/>
    <w:rsid w:val="00A968A5"/>
    <w:rsid w:val="00A970A8"/>
    <w:rsid w:val="00A973AE"/>
    <w:rsid w:val="00A977E7"/>
    <w:rsid w:val="00AA045B"/>
    <w:rsid w:val="00AA1258"/>
    <w:rsid w:val="00AA1BD5"/>
    <w:rsid w:val="00AA1CA4"/>
    <w:rsid w:val="00AA1F8F"/>
    <w:rsid w:val="00AA1F91"/>
    <w:rsid w:val="00AA2457"/>
    <w:rsid w:val="00AA2510"/>
    <w:rsid w:val="00AA3280"/>
    <w:rsid w:val="00AA32BF"/>
    <w:rsid w:val="00AA3610"/>
    <w:rsid w:val="00AA3C7D"/>
    <w:rsid w:val="00AA3D6E"/>
    <w:rsid w:val="00AA44B3"/>
    <w:rsid w:val="00AA4815"/>
    <w:rsid w:val="00AA498F"/>
    <w:rsid w:val="00AA4F64"/>
    <w:rsid w:val="00AA510D"/>
    <w:rsid w:val="00AA5933"/>
    <w:rsid w:val="00AA59E8"/>
    <w:rsid w:val="00AA5C0F"/>
    <w:rsid w:val="00AA5F1C"/>
    <w:rsid w:val="00AA6A8A"/>
    <w:rsid w:val="00AA7215"/>
    <w:rsid w:val="00AA7240"/>
    <w:rsid w:val="00AA7241"/>
    <w:rsid w:val="00AA7414"/>
    <w:rsid w:val="00AA75D4"/>
    <w:rsid w:val="00AA7E52"/>
    <w:rsid w:val="00AB0458"/>
    <w:rsid w:val="00AB0589"/>
    <w:rsid w:val="00AB0773"/>
    <w:rsid w:val="00AB115F"/>
    <w:rsid w:val="00AB15C3"/>
    <w:rsid w:val="00AB191C"/>
    <w:rsid w:val="00AB1CBE"/>
    <w:rsid w:val="00AB256D"/>
    <w:rsid w:val="00AB2657"/>
    <w:rsid w:val="00AB28E6"/>
    <w:rsid w:val="00AB3065"/>
    <w:rsid w:val="00AB3149"/>
    <w:rsid w:val="00AB31EA"/>
    <w:rsid w:val="00AB3932"/>
    <w:rsid w:val="00AB4708"/>
    <w:rsid w:val="00AB485B"/>
    <w:rsid w:val="00AB48AF"/>
    <w:rsid w:val="00AB48D2"/>
    <w:rsid w:val="00AB4A98"/>
    <w:rsid w:val="00AB4F2B"/>
    <w:rsid w:val="00AB545C"/>
    <w:rsid w:val="00AB57B5"/>
    <w:rsid w:val="00AB5DC0"/>
    <w:rsid w:val="00AB6408"/>
    <w:rsid w:val="00AB6E92"/>
    <w:rsid w:val="00AB731E"/>
    <w:rsid w:val="00AC018F"/>
    <w:rsid w:val="00AC072A"/>
    <w:rsid w:val="00AC125C"/>
    <w:rsid w:val="00AC1908"/>
    <w:rsid w:val="00AC1E93"/>
    <w:rsid w:val="00AC25A3"/>
    <w:rsid w:val="00AC2954"/>
    <w:rsid w:val="00AC34D8"/>
    <w:rsid w:val="00AC37F8"/>
    <w:rsid w:val="00AC3979"/>
    <w:rsid w:val="00AC3A5E"/>
    <w:rsid w:val="00AC3BD0"/>
    <w:rsid w:val="00AC3CAF"/>
    <w:rsid w:val="00AC4239"/>
    <w:rsid w:val="00AC46DB"/>
    <w:rsid w:val="00AC4A5B"/>
    <w:rsid w:val="00AC50C9"/>
    <w:rsid w:val="00AC616E"/>
    <w:rsid w:val="00AC638B"/>
    <w:rsid w:val="00AC63DE"/>
    <w:rsid w:val="00AC74EE"/>
    <w:rsid w:val="00AC78DB"/>
    <w:rsid w:val="00AD0718"/>
    <w:rsid w:val="00AD08F7"/>
    <w:rsid w:val="00AD2129"/>
    <w:rsid w:val="00AD245C"/>
    <w:rsid w:val="00AD2672"/>
    <w:rsid w:val="00AD296B"/>
    <w:rsid w:val="00AD2D01"/>
    <w:rsid w:val="00AD31FD"/>
    <w:rsid w:val="00AD36FE"/>
    <w:rsid w:val="00AD3E1B"/>
    <w:rsid w:val="00AD648A"/>
    <w:rsid w:val="00AD71CA"/>
    <w:rsid w:val="00AD770C"/>
    <w:rsid w:val="00AD789B"/>
    <w:rsid w:val="00AE0D49"/>
    <w:rsid w:val="00AE0DDC"/>
    <w:rsid w:val="00AE15EE"/>
    <w:rsid w:val="00AE1AF1"/>
    <w:rsid w:val="00AE1B04"/>
    <w:rsid w:val="00AE1B0C"/>
    <w:rsid w:val="00AE1EE2"/>
    <w:rsid w:val="00AE1EEA"/>
    <w:rsid w:val="00AE24CB"/>
    <w:rsid w:val="00AE2946"/>
    <w:rsid w:val="00AE2A09"/>
    <w:rsid w:val="00AE2F45"/>
    <w:rsid w:val="00AE324F"/>
    <w:rsid w:val="00AE3757"/>
    <w:rsid w:val="00AE377C"/>
    <w:rsid w:val="00AE395D"/>
    <w:rsid w:val="00AE3A66"/>
    <w:rsid w:val="00AE4C24"/>
    <w:rsid w:val="00AE524A"/>
    <w:rsid w:val="00AE53B2"/>
    <w:rsid w:val="00AE5401"/>
    <w:rsid w:val="00AE6460"/>
    <w:rsid w:val="00AE662F"/>
    <w:rsid w:val="00AE6784"/>
    <w:rsid w:val="00AE6C10"/>
    <w:rsid w:val="00AE6CFB"/>
    <w:rsid w:val="00AE6EC6"/>
    <w:rsid w:val="00AE7552"/>
    <w:rsid w:val="00AE7627"/>
    <w:rsid w:val="00AF0192"/>
    <w:rsid w:val="00AF034A"/>
    <w:rsid w:val="00AF1535"/>
    <w:rsid w:val="00AF166C"/>
    <w:rsid w:val="00AF17E7"/>
    <w:rsid w:val="00AF1BED"/>
    <w:rsid w:val="00AF1FA3"/>
    <w:rsid w:val="00AF25E8"/>
    <w:rsid w:val="00AF2F6C"/>
    <w:rsid w:val="00AF33E9"/>
    <w:rsid w:val="00AF3C87"/>
    <w:rsid w:val="00AF3D51"/>
    <w:rsid w:val="00AF494C"/>
    <w:rsid w:val="00AF4B0C"/>
    <w:rsid w:val="00AF55E7"/>
    <w:rsid w:val="00AF5FA3"/>
    <w:rsid w:val="00AF65A4"/>
    <w:rsid w:val="00AF69F8"/>
    <w:rsid w:val="00AF6BF1"/>
    <w:rsid w:val="00AF7956"/>
    <w:rsid w:val="00AF7E6F"/>
    <w:rsid w:val="00B0058E"/>
    <w:rsid w:val="00B00865"/>
    <w:rsid w:val="00B00B7B"/>
    <w:rsid w:val="00B013A4"/>
    <w:rsid w:val="00B013FA"/>
    <w:rsid w:val="00B019FF"/>
    <w:rsid w:val="00B01E44"/>
    <w:rsid w:val="00B028E9"/>
    <w:rsid w:val="00B029EC"/>
    <w:rsid w:val="00B02D4F"/>
    <w:rsid w:val="00B03B4A"/>
    <w:rsid w:val="00B03F0E"/>
    <w:rsid w:val="00B04023"/>
    <w:rsid w:val="00B04223"/>
    <w:rsid w:val="00B048BB"/>
    <w:rsid w:val="00B0550E"/>
    <w:rsid w:val="00B05550"/>
    <w:rsid w:val="00B05DAA"/>
    <w:rsid w:val="00B06310"/>
    <w:rsid w:val="00B067D0"/>
    <w:rsid w:val="00B06833"/>
    <w:rsid w:val="00B076C5"/>
    <w:rsid w:val="00B0776E"/>
    <w:rsid w:val="00B0778E"/>
    <w:rsid w:val="00B077C2"/>
    <w:rsid w:val="00B07F8F"/>
    <w:rsid w:val="00B10881"/>
    <w:rsid w:val="00B10AD9"/>
    <w:rsid w:val="00B119F4"/>
    <w:rsid w:val="00B11AB0"/>
    <w:rsid w:val="00B11ECB"/>
    <w:rsid w:val="00B12289"/>
    <w:rsid w:val="00B122E9"/>
    <w:rsid w:val="00B126EA"/>
    <w:rsid w:val="00B12D51"/>
    <w:rsid w:val="00B13344"/>
    <w:rsid w:val="00B13CBE"/>
    <w:rsid w:val="00B14317"/>
    <w:rsid w:val="00B14741"/>
    <w:rsid w:val="00B151E9"/>
    <w:rsid w:val="00B154B8"/>
    <w:rsid w:val="00B16681"/>
    <w:rsid w:val="00B16BE5"/>
    <w:rsid w:val="00B171FE"/>
    <w:rsid w:val="00B202F0"/>
    <w:rsid w:val="00B20387"/>
    <w:rsid w:val="00B2050B"/>
    <w:rsid w:val="00B20BAE"/>
    <w:rsid w:val="00B20CE7"/>
    <w:rsid w:val="00B20E71"/>
    <w:rsid w:val="00B2105B"/>
    <w:rsid w:val="00B21723"/>
    <w:rsid w:val="00B21903"/>
    <w:rsid w:val="00B21D24"/>
    <w:rsid w:val="00B2217D"/>
    <w:rsid w:val="00B221ED"/>
    <w:rsid w:val="00B226BD"/>
    <w:rsid w:val="00B2284A"/>
    <w:rsid w:val="00B22BE2"/>
    <w:rsid w:val="00B231DC"/>
    <w:rsid w:val="00B233BC"/>
    <w:rsid w:val="00B237BB"/>
    <w:rsid w:val="00B24210"/>
    <w:rsid w:val="00B249F6"/>
    <w:rsid w:val="00B24E13"/>
    <w:rsid w:val="00B25047"/>
    <w:rsid w:val="00B2595A"/>
    <w:rsid w:val="00B25BF9"/>
    <w:rsid w:val="00B25F10"/>
    <w:rsid w:val="00B26B9C"/>
    <w:rsid w:val="00B26C77"/>
    <w:rsid w:val="00B27207"/>
    <w:rsid w:val="00B2750D"/>
    <w:rsid w:val="00B27E8E"/>
    <w:rsid w:val="00B3080A"/>
    <w:rsid w:val="00B3087B"/>
    <w:rsid w:val="00B30948"/>
    <w:rsid w:val="00B30EB5"/>
    <w:rsid w:val="00B31298"/>
    <w:rsid w:val="00B31316"/>
    <w:rsid w:val="00B3153E"/>
    <w:rsid w:val="00B31724"/>
    <w:rsid w:val="00B32F1C"/>
    <w:rsid w:val="00B32FE2"/>
    <w:rsid w:val="00B33836"/>
    <w:rsid w:val="00B33A6A"/>
    <w:rsid w:val="00B33CB5"/>
    <w:rsid w:val="00B34ABD"/>
    <w:rsid w:val="00B34B09"/>
    <w:rsid w:val="00B358C3"/>
    <w:rsid w:val="00B35A46"/>
    <w:rsid w:val="00B36276"/>
    <w:rsid w:val="00B36352"/>
    <w:rsid w:val="00B36D75"/>
    <w:rsid w:val="00B36F77"/>
    <w:rsid w:val="00B37138"/>
    <w:rsid w:val="00B372A8"/>
    <w:rsid w:val="00B37BF7"/>
    <w:rsid w:val="00B401C0"/>
    <w:rsid w:val="00B40E19"/>
    <w:rsid w:val="00B41A10"/>
    <w:rsid w:val="00B41F73"/>
    <w:rsid w:val="00B42523"/>
    <w:rsid w:val="00B425D0"/>
    <w:rsid w:val="00B42A3F"/>
    <w:rsid w:val="00B436B1"/>
    <w:rsid w:val="00B43D99"/>
    <w:rsid w:val="00B443A4"/>
    <w:rsid w:val="00B451C3"/>
    <w:rsid w:val="00B4638A"/>
    <w:rsid w:val="00B46647"/>
    <w:rsid w:val="00B46CB6"/>
    <w:rsid w:val="00B46EE6"/>
    <w:rsid w:val="00B470E1"/>
    <w:rsid w:val="00B476EE"/>
    <w:rsid w:val="00B50AD6"/>
    <w:rsid w:val="00B50C90"/>
    <w:rsid w:val="00B510F4"/>
    <w:rsid w:val="00B51EBB"/>
    <w:rsid w:val="00B52AA1"/>
    <w:rsid w:val="00B53F34"/>
    <w:rsid w:val="00B543E2"/>
    <w:rsid w:val="00B544A1"/>
    <w:rsid w:val="00B5461D"/>
    <w:rsid w:val="00B54CA3"/>
    <w:rsid w:val="00B54F5E"/>
    <w:rsid w:val="00B55307"/>
    <w:rsid w:val="00B55327"/>
    <w:rsid w:val="00B5552E"/>
    <w:rsid w:val="00B557C9"/>
    <w:rsid w:val="00B56A37"/>
    <w:rsid w:val="00B56C5F"/>
    <w:rsid w:val="00B56D54"/>
    <w:rsid w:val="00B57020"/>
    <w:rsid w:val="00B570DF"/>
    <w:rsid w:val="00B603C6"/>
    <w:rsid w:val="00B606ED"/>
    <w:rsid w:val="00B61B56"/>
    <w:rsid w:val="00B62492"/>
    <w:rsid w:val="00B626AA"/>
    <w:rsid w:val="00B62ABD"/>
    <w:rsid w:val="00B63A55"/>
    <w:rsid w:val="00B6400B"/>
    <w:rsid w:val="00B64208"/>
    <w:rsid w:val="00B648F5"/>
    <w:rsid w:val="00B654EF"/>
    <w:rsid w:val="00B6567F"/>
    <w:rsid w:val="00B65A5D"/>
    <w:rsid w:val="00B65DD2"/>
    <w:rsid w:val="00B662FC"/>
    <w:rsid w:val="00B6642F"/>
    <w:rsid w:val="00B66D08"/>
    <w:rsid w:val="00B67457"/>
    <w:rsid w:val="00B67E61"/>
    <w:rsid w:val="00B67EAB"/>
    <w:rsid w:val="00B70058"/>
    <w:rsid w:val="00B70189"/>
    <w:rsid w:val="00B7019E"/>
    <w:rsid w:val="00B70450"/>
    <w:rsid w:val="00B70E5E"/>
    <w:rsid w:val="00B710D6"/>
    <w:rsid w:val="00B719AD"/>
    <w:rsid w:val="00B725FE"/>
    <w:rsid w:val="00B726D2"/>
    <w:rsid w:val="00B72AF2"/>
    <w:rsid w:val="00B73A15"/>
    <w:rsid w:val="00B74041"/>
    <w:rsid w:val="00B744BF"/>
    <w:rsid w:val="00B744FB"/>
    <w:rsid w:val="00B74B7F"/>
    <w:rsid w:val="00B75603"/>
    <w:rsid w:val="00B76294"/>
    <w:rsid w:val="00B767D0"/>
    <w:rsid w:val="00B768A3"/>
    <w:rsid w:val="00B76CB7"/>
    <w:rsid w:val="00B7708E"/>
    <w:rsid w:val="00B77413"/>
    <w:rsid w:val="00B777ED"/>
    <w:rsid w:val="00B77B43"/>
    <w:rsid w:val="00B77CDB"/>
    <w:rsid w:val="00B77DB3"/>
    <w:rsid w:val="00B80538"/>
    <w:rsid w:val="00B80E59"/>
    <w:rsid w:val="00B8138B"/>
    <w:rsid w:val="00B81557"/>
    <w:rsid w:val="00B81890"/>
    <w:rsid w:val="00B825B8"/>
    <w:rsid w:val="00B82752"/>
    <w:rsid w:val="00B82D85"/>
    <w:rsid w:val="00B830A4"/>
    <w:rsid w:val="00B83660"/>
    <w:rsid w:val="00B8484C"/>
    <w:rsid w:val="00B84C6A"/>
    <w:rsid w:val="00B86DE0"/>
    <w:rsid w:val="00B8778A"/>
    <w:rsid w:val="00B87909"/>
    <w:rsid w:val="00B87C81"/>
    <w:rsid w:val="00B90324"/>
    <w:rsid w:val="00B9128C"/>
    <w:rsid w:val="00B916BB"/>
    <w:rsid w:val="00B918A8"/>
    <w:rsid w:val="00B91A97"/>
    <w:rsid w:val="00B91BD4"/>
    <w:rsid w:val="00B92245"/>
    <w:rsid w:val="00B9311C"/>
    <w:rsid w:val="00B93508"/>
    <w:rsid w:val="00B93B95"/>
    <w:rsid w:val="00B93CF9"/>
    <w:rsid w:val="00B94355"/>
    <w:rsid w:val="00B946F3"/>
    <w:rsid w:val="00B954AD"/>
    <w:rsid w:val="00B95F0A"/>
    <w:rsid w:val="00B9693B"/>
    <w:rsid w:val="00B975AB"/>
    <w:rsid w:val="00B9780F"/>
    <w:rsid w:val="00B97816"/>
    <w:rsid w:val="00B97C8B"/>
    <w:rsid w:val="00B97CE6"/>
    <w:rsid w:val="00BA01EF"/>
    <w:rsid w:val="00BA05BE"/>
    <w:rsid w:val="00BA08E0"/>
    <w:rsid w:val="00BA0B6C"/>
    <w:rsid w:val="00BA0FC5"/>
    <w:rsid w:val="00BA0FDD"/>
    <w:rsid w:val="00BA1143"/>
    <w:rsid w:val="00BA12CB"/>
    <w:rsid w:val="00BA15FE"/>
    <w:rsid w:val="00BA1987"/>
    <w:rsid w:val="00BA2EA9"/>
    <w:rsid w:val="00BA3D61"/>
    <w:rsid w:val="00BA4424"/>
    <w:rsid w:val="00BA4724"/>
    <w:rsid w:val="00BA482B"/>
    <w:rsid w:val="00BA4AFB"/>
    <w:rsid w:val="00BA5047"/>
    <w:rsid w:val="00BA5391"/>
    <w:rsid w:val="00BA60F7"/>
    <w:rsid w:val="00BA6624"/>
    <w:rsid w:val="00BA6BAD"/>
    <w:rsid w:val="00BA74AF"/>
    <w:rsid w:val="00BB0462"/>
    <w:rsid w:val="00BB0A7C"/>
    <w:rsid w:val="00BB1FC4"/>
    <w:rsid w:val="00BB2550"/>
    <w:rsid w:val="00BB39E7"/>
    <w:rsid w:val="00BB3A21"/>
    <w:rsid w:val="00BB3FC6"/>
    <w:rsid w:val="00BB4193"/>
    <w:rsid w:val="00BB422B"/>
    <w:rsid w:val="00BB4290"/>
    <w:rsid w:val="00BB4D5A"/>
    <w:rsid w:val="00BB4DB3"/>
    <w:rsid w:val="00BB589D"/>
    <w:rsid w:val="00BB64C9"/>
    <w:rsid w:val="00BB6891"/>
    <w:rsid w:val="00BB6A34"/>
    <w:rsid w:val="00BB6BDF"/>
    <w:rsid w:val="00BB787F"/>
    <w:rsid w:val="00BB7E9B"/>
    <w:rsid w:val="00BC192C"/>
    <w:rsid w:val="00BC1CD7"/>
    <w:rsid w:val="00BC3337"/>
    <w:rsid w:val="00BC3528"/>
    <w:rsid w:val="00BC371C"/>
    <w:rsid w:val="00BC447B"/>
    <w:rsid w:val="00BC47D1"/>
    <w:rsid w:val="00BC4CF1"/>
    <w:rsid w:val="00BC4D0A"/>
    <w:rsid w:val="00BC4D1E"/>
    <w:rsid w:val="00BC4D6A"/>
    <w:rsid w:val="00BC5286"/>
    <w:rsid w:val="00BC5CE1"/>
    <w:rsid w:val="00BC6204"/>
    <w:rsid w:val="00BC6B71"/>
    <w:rsid w:val="00BC6F96"/>
    <w:rsid w:val="00BC7389"/>
    <w:rsid w:val="00BD0074"/>
    <w:rsid w:val="00BD027C"/>
    <w:rsid w:val="00BD1295"/>
    <w:rsid w:val="00BD1562"/>
    <w:rsid w:val="00BD17DF"/>
    <w:rsid w:val="00BD1BD1"/>
    <w:rsid w:val="00BD25CD"/>
    <w:rsid w:val="00BD2FD5"/>
    <w:rsid w:val="00BD3778"/>
    <w:rsid w:val="00BD3822"/>
    <w:rsid w:val="00BD385A"/>
    <w:rsid w:val="00BD3914"/>
    <w:rsid w:val="00BD3DBD"/>
    <w:rsid w:val="00BD456F"/>
    <w:rsid w:val="00BD4A38"/>
    <w:rsid w:val="00BD4DC3"/>
    <w:rsid w:val="00BD5C2B"/>
    <w:rsid w:val="00BD5EAB"/>
    <w:rsid w:val="00BD688E"/>
    <w:rsid w:val="00BD6997"/>
    <w:rsid w:val="00BD6B74"/>
    <w:rsid w:val="00BD6E03"/>
    <w:rsid w:val="00BD6ECE"/>
    <w:rsid w:val="00BD7718"/>
    <w:rsid w:val="00BD777E"/>
    <w:rsid w:val="00BD7E94"/>
    <w:rsid w:val="00BE06B8"/>
    <w:rsid w:val="00BE10DE"/>
    <w:rsid w:val="00BE26A4"/>
    <w:rsid w:val="00BE29CB"/>
    <w:rsid w:val="00BE2B9F"/>
    <w:rsid w:val="00BE2DC2"/>
    <w:rsid w:val="00BE32D0"/>
    <w:rsid w:val="00BE391D"/>
    <w:rsid w:val="00BE3AA0"/>
    <w:rsid w:val="00BE3C22"/>
    <w:rsid w:val="00BE3C6A"/>
    <w:rsid w:val="00BE40D5"/>
    <w:rsid w:val="00BE44A5"/>
    <w:rsid w:val="00BE47B0"/>
    <w:rsid w:val="00BE4F42"/>
    <w:rsid w:val="00BE5742"/>
    <w:rsid w:val="00BE628E"/>
    <w:rsid w:val="00BE6782"/>
    <w:rsid w:val="00BE6E33"/>
    <w:rsid w:val="00BE6F6C"/>
    <w:rsid w:val="00BE725C"/>
    <w:rsid w:val="00BF0138"/>
    <w:rsid w:val="00BF01E0"/>
    <w:rsid w:val="00BF02AC"/>
    <w:rsid w:val="00BF03A9"/>
    <w:rsid w:val="00BF043C"/>
    <w:rsid w:val="00BF0D8B"/>
    <w:rsid w:val="00BF0DCD"/>
    <w:rsid w:val="00BF0E26"/>
    <w:rsid w:val="00BF1846"/>
    <w:rsid w:val="00BF2147"/>
    <w:rsid w:val="00BF2806"/>
    <w:rsid w:val="00BF30C7"/>
    <w:rsid w:val="00BF31D5"/>
    <w:rsid w:val="00BF3319"/>
    <w:rsid w:val="00BF3396"/>
    <w:rsid w:val="00BF39CA"/>
    <w:rsid w:val="00BF3FC9"/>
    <w:rsid w:val="00BF45A6"/>
    <w:rsid w:val="00BF51CF"/>
    <w:rsid w:val="00BF5283"/>
    <w:rsid w:val="00BF529D"/>
    <w:rsid w:val="00BF53A6"/>
    <w:rsid w:val="00BF5F7C"/>
    <w:rsid w:val="00BF635A"/>
    <w:rsid w:val="00BF63E2"/>
    <w:rsid w:val="00BF64A2"/>
    <w:rsid w:val="00BF68F2"/>
    <w:rsid w:val="00BF757D"/>
    <w:rsid w:val="00BF7D74"/>
    <w:rsid w:val="00BF7E33"/>
    <w:rsid w:val="00BF7F90"/>
    <w:rsid w:val="00C0002E"/>
    <w:rsid w:val="00C00124"/>
    <w:rsid w:val="00C0019B"/>
    <w:rsid w:val="00C007DA"/>
    <w:rsid w:val="00C00DC7"/>
    <w:rsid w:val="00C00E2C"/>
    <w:rsid w:val="00C01B0A"/>
    <w:rsid w:val="00C01B2D"/>
    <w:rsid w:val="00C02B66"/>
    <w:rsid w:val="00C02DB3"/>
    <w:rsid w:val="00C03AD5"/>
    <w:rsid w:val="00C040D1"/>
    <w:rsid w:val="00C046C3"/>
    <w:rsid w:val="00C051B4"/>
    <w:rsid w:val="00C054E9"/>
    <w:rsid w:val="00C0556F"/>
    <w:rsid w:val="00C05929"/>
    <w:rsid w:val="00C05C8E"/>
    <w:rsid w:val="00C06446"/>
    <w:rsid w:val="00C0644E"/>
    <w:rsid w:val="00C0697E"/>
    <w:rsid w:val="00C069D0"/>
    <w:rsid w:val="00C06B2F"/>
    <w:rsid w:val="00C06E79"/>
    <w:rsid w:val="00C06EE5"/>
    <w:rsid w:val="00C07151"/>
    <w:rsid w:val="00C079F0"/>
    <w:rsid w:val="00C07AEF"/>
    <w:rsid w:val="00C07C64"/>
    <w:rsid w:val="00C10461"/>
    <w:rsid w:val="00C108B5"/>
    <w:rsid w:val="00C11015"/>
    <w:rsid w:val="00C116EB"/>
    <w:rsid w:val="00C11712"/>
    <w:rsid w:val="00C12250"/>
    <w:rsid w:val="00C126BD"/>
    <w:rsid w:val="00C136F8"/>
    <w:rsid w:val="00C1373F"/>
    <w:rsid w:val="00C13D49"/>
    <w:rsid w:val="00C14686"/>
    <w:rsid w:val="00C15F91"/>
    <w:rsid w:val="00C16218"/>
    <w:rsid w:val="00C1675E"/>
    <w:rsid w:val="00C16844"/>
    <w:rsid w:val="00C16AA8"/>
    <w:rsid w:val="00C16B38"/>
    <w:rsid w:val="00C16E3C"/>
    <w:rsid w:val="00C1700D"/>
    <w:rsid w:val="00C174C0"/>
    <w:rsid w:val="00C178BC"/>
    <w:rsid w:val="00C17F34"/>
    <w:rsid w:val="00C20812"/>
    <w:rsid w:val="00C209C2"/>
    <w:rsid w:val="00C20E46"/>
    <w:rsid w:val="00C21130"/>
    <w:rsid w:val="00C2143D"/>
    <w:rsid w:val="00C21E7C"/>
    <w:rsid w:val="00C227E7"/>
    <w:rsid w:val="00C22AC0"/>
    <w:rsid w:val="00C2315E"/>
    <w:rsid w:val="00C23BF5"/>
    <w:rsid w:val="00C240F3"/>
    <w:rsid w:val="00C24165"/>
    <w:rsid w:val="00C247FF"/>
    <w:rsid w:val="00C24AEF"/>
    <w:rsid w:val="00C24B4F"/>
    <w:rsid w:val="00C24E32"/>
    <w:rsid w:val="00C24FC5"/>
    <w:rsid w:val="00C2509A"/>
    <w:rsid w:val="00C25714"/>
    <w:rsid w:val="00C259F5"/>
    <w:rsid w:val="00C25B84"/>
    <w:rsid w:val="00C25C16"/>
    <w:rsid w:val="00C25EF3"/>
    <w:rsid w:val="00C25F6D"/>
    <w:rsid w:val="00C26584"/>
    <w:rsid w:val="00C266A5"/>
    <w:rsid w:val="00C270D6"/>
    <w:rsid w:val="00C27808"/>
    <w:rsid w:val="00C27D3B"/>
    <w:rsid w:val="00C30037"/>
    <w:rsid w:val="00C30930"/>
    <w:rsid w:val="00C3099D"/>
    <w:rsid w:val="00C30EE9"/>
    <w:rsid w:val="00C30F32"/>
    <w:rsid w:val="00C30F49"/>
    <w:rsid w:val="00C314D3"/>
    <w:rsid w:val="00C31916"/>
    <w:rsid w:val="00C3192F"/>
    <w:rsid w:val="00C31AF9"/>
    <w:rsid w:val="00C322A4"/>
    <w:rsid w:val="00C32C65"/>
    <w:rsid w:val="00C3316B"/>
    <w:rsid w:val="00C3408D"/>
    <w:rsid w:val="00C340A5"/>
    <w:rsid w:val="00C34D9C"/>
    <w:rsid w:val="00C351C5"/>
    <w:rsid w:val="00C353B8"/>
    <w:rsid w:val="00C353DC"/>
    <w:rsid w:val="00C35973"/>
    <w:rsid w:val="00C36057"/>
    <w:rsid w:val="00C36231"/>
    <w:rsid w:val="00C3696C"/>
    <w:rsid w:val="00C369F4"/>
    <w:rsid w:val="00C36BCC"/>
    <w:rsid w:val="00C36D3D"/>
    <w:rsid w:val="00C377FA"/>
    <w:rsid w:val="00C378A0"/>
    <w:rsid w:val="00C405F8"/>
    <w:rsid w:val="00C40B38"/>
    <w:rsid w:val="00C40BFD"/>
    <w:rsid w:val="00C41132"/>
    <w:rsid w:val="00C41308"/>
    <w:rsid w:val="00C41AA6"/>
    <w:rsid w:val="00C420CD"/>
    <w:rsid w:val="00C42CB6"/>
    <w:rsid w:val="00C42D84"/>
    <w:rsid w:val="00C43538"/>
    <w:rsid w:val="00C439B5"/>
    <w:rsid w:val="00C43F42"/>
    <w:rsid w:val="00C441B8"/>
    <w:rsid w:val="00C44447"/>
    <w:rsid w:val="00C44837"/>
    <w:rsid w:val="00C45979"/>
    <w:rsid w:val="00C465BD"/>
    <w:rsid w:val="00C46679"/>
    <w:rsid w:val="00C46A18"/>
    <w:rsid w:val="00C46AA2"/>
    <w:rsid w:val="00C46B8F"/>
    <w:rsid w:val="00C4710C"/>
    <w:rsid w:val="00C4759E"/>
    <w:rsid w:val="00C475DC"/>
    <w:rsid w:val="00C47EB7"/>
    <w:rsid w:val="00C50386"/>
    <w:rsid w:val="00C51EC6"/>
    <w:rsid w:val="00C51F62"/>
    <w:rsid w:val="00C51FA5"/>
    <w:rsid w:val="00C52120"/>
    <w:rsid w:val="00C5229D"/>
    <w:rsid w:val="00C52947"/>
    <w:rsid w:val="00C52A40"/>
    <w:rsid w:val="00C52ADD"/>
    <w:rsid w:val="00C532F2"/>
    <w:rsid w:val="00C53A54"/>
    <w:rsid w:val="00C53D23"/>
    <w:rsid w:val="00C54017"/>
    <w:rsid w:val="00C54355"/>
    <w:rsid w:val="00C54865"/>
    <w:rsid w:val="00C54D12"/>
    <w:rsid w:val="00C54D47"/>
    <w:rsid w:val="00C550AD"/>
    <w:rsid w:val="00C554DF"/>
    <w:rsid w:val="00C55985"/>
    <w:rsid w:val="00C562A5"/>
    <w:rsid w:val="00C562D4"/>
    <w:rsid w:val="00C562F6"/>
    <w:rsid w:val="00C56C49"/>
    <w:rsid w:val="00C57059"/>
    <w:rsid w:val="00C570A6"/>
    <w:rsid w:val="00C57D40"/>
    <w:rsid w:val="00C600A1"/>
    <w:rsid w:val="00C6030B"/>
    <w:rsid w:val="00C60599"/>
    <w:rsid w:val="00C61A33"/>
    <w:rsid w:val="00C62AE3"/>
    <w:rsid w:val="00C63396"/>
    <w:rsid w:val="00C634F4"/>
    <w:rsid w:val="00C64808"/>
    <w:rsid w:val="00C64C58"/>
    <w:rsid w:val="00C653AB"/>
    <w:rsid w:val="00C65E3B"/>
    <w:rsid w:val="00C664A3"/>
    <w:rsid w:val="00C667A2"/>
    <w:rsid w:val="00C70686"/>
    <w:rsid w:val="00C70A9E"/>
    <w:rsid w:val="00C70EE1"/>
    <w:rsid w:val="00C710EF"/>
    <w:rsid w:val="00C7190A"/>
    <w:rsid w:val="00C71FBB"/>
    <w:rsid w:val="00C722B9"/>
    <w:rsid w:val="00C72649"/>
    <w:rsid w:val="00C727EC"/>
    <w:rsid w:val="00C732FA"/>
    <w:rsid w:val="00C73BAA"/>
    <w:rsid w:val="00C74498"/>
    <w:rsid w:val="00C7486F"/>
    <w:rsid w:val="00C74BB2"/>
    <w:rsid w:val="00C74E5C"/>
    <w:rsid w:val="00C74F13"/>
    <w:rsid w:val="00C75599"/>
    <w:rsid w:val="00C759CB"/>
    <w:rsid w:val="00C75A2C"/>
    <w:rsid w:val="00C76AC4"/>
    <w:rsid w:val="00C77136"/>
    <w:rsid w:val="00C7775C"/>
    <w:rsid w:val="00C778EB"/>
    <w:rsid w:val="00C820B9"/>
    <w:rsid w:val="00C82ABD"/>
    <w:rsid w:val="00C83124"/>
    <w:rsid w:val="00C83327"/>
    <w:rsid w:val="00C83720"/>
    <w:rsid w:val="00C83C01"/>
    <w:rsid w:val="00C83CA4"/>
    <w:rsid w:val="00C83CD7"/>
    <w:rsid w:val="00C83D20"/>
    <w:rsid w:val="00C83E87"/>
    <w:rsid w:val="00C8473E"/>
    <w:rsid w:val="00C84ADD"/>
    <w:rsid w:val="00C8544F"/>
    <w:rsid w:val="00C8586F"/>
    <w:rsid w:val="00C85B53"/>
    <w:rsid w:val="00C86409"/>
    <w:rsid w:val="00C865A8"/>
    <w:rsid w:val="00C867C8"/>
    <w:rsid w:val="00C86F45"/>
    <w:rsid w:val="00C874A4"/>
    <w:rsid w:val="00C876A7"/>
    <w:rsid w:val="00C87A06"/>
    <w:rsid w:val="00C90A1A"/>
    <w:rsid w:val="00C90D89"/>
    <w:rsid w:val="00C917F8"/>
    <w:rsid w:val="00C91B7C"/>
    <w:rsid w:val="00C91D86"/>
    <w:rsid w:val="00C92338"/>
    <w:rsid w:val="00C92EA1"/>
    <w:rsid w:val="00C92EE1"/>
    <w:rsid w:val="00C93209"/>
    <w:rsid w:val="00C93359"/>
    <w:rsid w:val="00C93399"/>
    <w:rsid w:val="00C93585"/>
    <w:rsid w:val="00C939AD"/>
    <w:rsid w:val="00C942BB"/>
    <w:rsid w:val="00C94C48"/>
    <w:rsid w:val="00C94E82"/>
    <w:rsid w:val="00C95708"/>
    <w:rsid w:val="00C95876"/>
    <w:rsid w:val="00C959F6"/>
    <w:rsid w:val="00C95F4D"/>
    <w:rsid w:val="00C96FB8"/>
    <w:rsid w:val="00C97B4A"/>
    <w:rsid w:val="00CA012C"/>
    <w:rsid w:val="00CA013A"/>
    <w:rsid w:val="00CA05A7"/>
    <w:rsid w:val="00CA06A6"/>
    <w:rsid w:val="00CA08E8"/>
    <w:rsid w:val="00CA10EE"/>
    <w:rsid w:val="00CA11C7"/>
    <w:rsid w:val="00CA1970"/>
    <w:rsid w:val="00CA199D"/>
    <w:rsid w:val="00CA21E1"/>
    <w:rsid w:val="00CA22F3"/>
    <w:rsid w:val="00CA2F2A"/>
    <w:rsid w:val="00CA33FC"/>
    <w:rsid w:val="00CA3CF6"/>
    <w:rsid w:val="00CA3EEF"/>
    <w:rsid w:val="00CA436F"/>
    <w:rsid w:val="00CA4D97"/>
    <w:rsid w:val="00CA5C8B"/>
    <w:rsid w:val="00CA5F97"/>
    <w:rsid w:val="00CA694E"/>
    <w:rsid w:val="00CA6C1F"/>
    <w:rsid w:val="00CA6E13"/>
    <w:rsid w:val="00CA71B2"/>
    <w:rsid w:val="00CA7894"/>
    <w:rsid w:val="00CB06A8"/>
    <w:rsid w:val="00CB18BA"/>
    <w:rsid w:val="00CB1FBA"/>
    <w:rsid w:val="00CB2854"/>
    <w:rsid w:val="00CB37A8"/>
    <w:rsid w:val="00CB3A70"/>
    <w:rsid w:val="00CB3E23"/>
    <w:rsid w:val="00CB481C"/>
    <w:rsid w:val="00CB5524"/>
    <w:rsid w:val="00CB5C71"/>
    <w:rsid w:val="00CB5FB5"/>
    <w:rsid w:val="00CB604C"/>
    <w:rsid w:val="00CB66D3"/>
    <w:rsid w:val="00CB7D90"/>
    <w:rsid w:val="00CC0614"/>
    <w:rsid w:val="00CC07DA"/>
    <w:rsid w:val="00CC0824"/>
    <w:rsid w:val="00CC0B1D"/>
    <w:rsid w:val="00CC11C9"/>
    <w:rsid w:val="00CC1242"/>
    <w:rsid w:val="00CC177C"/>
    <w:rsid w:val="00CC1794"/>
    <w:rsid w:val="00CC22F0"/>
    <w:rsid w:val="00CC2AF4"/>
    <w:rsid w:val="00CC2C0E"/>
    <w:rsid w:val="00CC3B17"/>
    <w:rsid w:val="00CC4EE4"/>
    <w:rsid w:val="00CC56EE"/>
    <w:rsid w:val="00CC594E"/>
    <w:rsid w:val="00CC6BF1"/>
    <w:rsid w:val="00CC7742"/>
    <w:rsid w:val="00CC7D5F"/>
    <w:rsid w:val="00CC7E3A"/>
    <w:rsid w:val="00CD0090"/>
    <w:rsid w:val="00CD0816"/>
    <w:rsid w:val="00CD0BF7"/>
    <w:rsid w:val="00CD0C40"/>
    <w:rsid w:val="00CD1060"/>
    <w:rsid w:val="00CD1C28"/>
    <w:rsid w:val="00CD1EA1"/>
    <w:rsid w:val="00CD228E"/>
    <w:rsid w:val="00CD312D"/>
    <w:rsid w:val="00CD36EE"/>
    <w:rsid w:val="00CD38E3"/>
    <w:rsid w:val="00CD3B64"/>
    <w:rsid w:val="00CD3C9F"/>
    <w:rsid w:val="00CD3D1B"/>
    <w:rsid w:val="00CD3E16"/>
    <w:rsid w:val="00CD5878"/>
    <w:rsid w:val="00CD5D22"/>
    <w:rsid w:val="00CD5F29"/>
    <w:rsid w:val="00CD629C"/>
    <w:rsid w:val="00CD63B9"/>
    <w:rsid w:val="00CD6729"/>
    <w:rsid w:val="00CD68A0"/>
    <w:rsid w:val="00CD6A68"/>
    <w:rsid w:val="00CD6FA9"/>
    <w:rsid w:val="00CD6FE6"/>
    <w:rsid w:val="00CD73DD"/>
    <w:rsid w:val="00CE0104"/>
    <w:rsid w:val="00CE1047"/>
    <w:rsid w:val="00CE1466"/>
    <w:rsid w:val="00CE157A"/>
    <w:rsid w:val="00CE18F1"/>
    <w:rsid w:val="00CE196A"/>
    <w:rsid w:val="00CE2031"/>
    <w:rsid w:val="00CE27FE"/>
    <w:rsid w:val="00CE2D7E"/>
    <w:rsid w:val="00CE2F6C"/>
    <w:rsid w:val="00CE3035"/>
    <w:rsid w:val="00CE3349"/>
    <w:rsid w:val="00CE3ACA"/>
    <w:rsid w:val="00CE438F"/>
    <w:rsid w:val="00CE43BB"/>
    <w:rsid w:val="00CE4972"/>
    <w:rsid w:val="00CE4F43"/>
    <w:rsid w:val="00CE53FC"/>
    <w:rsid w:val="00CE5407"/>
    <w:rsid w:val="00CE57F1"/>
    <w:rsid w:val="00CE60C9"/>
    <w:rsid w:val="00CE620E"/>
    <w:rsid w:val="00CE6219"/>
    <w:rsid w:val="00CE70E2"/>
    <w:rsid w:val="00CE7E09"/>
    <w:rsid w:val="00CF06CB"/>
    <w:rsid w:val="00CF08B5"/>
    <w:rsid w:val="00CF0BC4"/>
    <w:rsid w:val="00CF0DE2"/>
    <w:rsid w:val="00CF1968"/>
    <w:rsid w:val="00CF22E5"/>
    <w:rsid w:val="00CF237B"/>
    <w:rsid w:val="00CF289D"/>
    <w:rsid w:val="00CF48AD"/>
    <w:rsid w:val="00CF4F72"/>
    <w:rsid w:val="00CF509F"/>
    <w:rsid w:val="00CF5CF3"/>
    <w:rsid w:val="00CF61ED"/>
    <w:rsid w:val="00CF6DE6"/>
    <w:rsid w:val="00CF6F67"/>
    <w:rsid w:val="00CF706E"/>
    <w:rsid w:val="00CF786E"/>
    <w:rsid w:val="00D001BE"/>
    <w:rsid w:val="00D00307"/>
    <w:rsid w:val="00D0094E"/>
    <w:rsid w:val="00D00B8C"/>
    <w:rsid w:val="00D00F2E"/>
    <w:rsid w:val="00D00FAE"/>
    <w:rsid w:val="00D01222"/>
    <w:rsid w:val="00D02002"/>
    <w:rsid w:val="00D02178"/>
    <w:rsid w:val="00D02382"/>
    <w:rsid w:val="00D023A1"/>
    <w:rsid w:val="00D02C64"/>
    <w:rsid w:val="00D03962"/>
    <w:rsid w:val="00D03CDF"/>
    <w:rsid w:val="00D04577"/>
    <w:rsid w:val="00D04719"/>
    <w:rsid w:val="00D0531D"/>
    <w:rsid w:val="00D05849"/>
    <w:rsid w:val="00D0594A"/>
    <w:rsid w:val="00D05970"/>
    <w:rsid w:val="00D05BC7"/>
    <w:rsid w:val="00D063E4"/>
    <w:rsid w:val="00D0661D"/>
    <w:rsid w:val="00D071FC"/>
    <w:rsid w:val="00D072BA"/>
    <w:rsid w:val="00D0739A"/>
    <w:rsid w:val="00D07535"/>
    <w:rsid w:val="00D102A5"/>
    <w:rsid w:val="00D10BAA"/>
    <w:rsid w:val="00D116BF"/>
    <w:rsid w:val="00D1180B"/>
    <w:rsid w:val="00D11FEC"/>
    <w:rsid w:val="00D12339"/>
    <w:rsid w:val="00D127F0"/>
    <w:rsid w:val="00D129FA"/>
    <w:rsid w:val="00D12FFD"/>
    <w:rsid w:val="00D133D2"/>
    <w:rsid w:val="00D138A9"/>
    <w:rsid w:val="00D13D4F"/>
    <w:rsid w:val="00D146AE"/>
    <w:rsid w:val="00D14C61"/>
    <w:rsid w:val="00D14D74"/>
    <w:rsid w:val="00D14E90"/>
    <w:rsid w:val="00D159BF"/>
    <w:rsid w:val="00D160EA"/>
    <w:rsid w:val="00D16237"/>
    <w:rsid w:val="00D16398"/>
    <w:rsid w:val="00D16D3D"/>
    <w:rsid w:val="00D17178"/>
    <w:rsid w:val="00D17379"/>
    <w:rsid w:val="00D177B4"/>
    <w:rsid w:val="00D17D65"/>
    <w:rsid w:val="00D204D2"/>
    <w:rsid w:val="00D2076D"/>
    <w:rsid w:val="00D208A4"/>
    <w:rsid w:val="00D21237"/>
    <w:rsid w:val="00D21314"/>
    <w:rsid w:val="00D21A90"/>
    <w:rsid w:val="00D220F0"/>
    <w:rsid w:val="00D22950"/>
    <w:rsid w:val="00D22CC3"/>
    <w:rsid w:val="00D232C2"/>
    <w:rsid w:val="00D252C1"/>
    <w:rsid w:val="00D3026C"/>
    <w:rsid w:val="00D30471"/>
    <w:rsid w:val="00D307FD"/>
    <w:rsid w:val="00D30838"/>
    <w:rsid w:val="00D316D2"/>
    <w:rsid w:val="00D31930"/>
    <w:rsid w:val="00D31AE8"/>
    <w:rsid w:val="00D31CD5"/>
    <w:rsid w:val="00D31EB1"/>
    <w:rsid w:val="00D32F8A"/>
    <w:rsid w:val="00D33299"/>
    <w:rsid w:val="00D337D7"/>
    <w:rsid w:val="00D33A1B"/>
    <w:rsid w:val="00D3459B"/>
    <w:rsid w:val="00D3460D"/>
    <w:rsid w:val="00D347AF"/>
    <w:rsid w:val="00D34FD1"/>
    <w:rsid w:val="00D35545"/>
    <w:rsid w:val="00D35B24"/>
    <w:rsid w:val="00D35FAC"/>
    <w:rsid w:val="00D363A6"/>
    <w:rsid w:val="00D365BE"/>
    <w:rsid w:val="00D36674"/>
    <w:rsid w:val="00D36899"/>
    <w:rsid w:val="00D37464"/>
    <w:rsid w:val="00D3773D"/>
    <w:rsid w:val="00D377B6"/>
    <w:rsid w:val="00D40263"/>
    <w:rsid w:val="00D40622"/>
    <w:rsid w:val="00D40C22"/>
    <w:rsid w:val="00D41172"/>
    <w:rsid w:val="00D41298"/>
    <w:rsid w:val="00D41E2B"/>
    <w:rsid w:val="00D42330"/>
    <w:rsid w:val="00D42B2A"/>
    <w:rsid w:val="00D42D29"/>
    <w:rsid w:val="00D431DA"/>
    <w:rsid w:val="00D438AC"/>
    <w:rsid w:val="00D43FEB"/>
    <w:rsid w:val="00D44091"/>
    <w:rsid w:val="00D4438C"/>
    <w:rsid w:val="00D4463A"/>
    <w:rsid w:val="00D449E8"/>
    <w:rsid w:val="00D44CE4"/>
    <w:rsid w:val="00D452DB"/>
    <w:rsid w:val="00D455D4"/>
    <w:rsid w:val="00D4562C"/>
    <w:rsid w:val="00D45BFB"/>
    <w:rsid w:val="00D46182"/>
    <w:rsid w:val="00D462F9"/>
    <w:rsid w:val="00D465B6"/>
    <w:rsid w:val="00D46636"/>
    <w:rsid w:val="00D46888"/>
    <w:rsid w:val="00D46E7E"/>
    <w:rsid w:val="00D47348"/>
    <w:rsid w:val="00D479EA"/>
    <w:rsid w:val="00D47BFD"/>
    <w:rsid w:val="00D500EB"/>
    <w:rsid w:val="00D50B91"/>
    <w:rsid w:val="00D50E1B"/>
    <w:rsid w:val="00D51771"/>
    <w:rsid w:val="00D52EA7"/>
    <w:rsid w:val="00D53191"/>
    <w:rsid w:val="00D53873"/>
    <w:rsid w:val="00D53B54"/>
    <w:rsid w:val="00D54666"/>
    <w:rsid w:val="00D54EFB"/>
    <w:rsid w:val="00D55035"/>
    <w:rsid w:val="00D5543B"/>
    <w:rsid w:val="00D555A7"/>
    <w:rsid w:val="00D565BC"/>
    <w:rsid w:val="00D56EB0"/>
    <w:rsid w:val="00D57633"/>
    <w:rsid w:val="00D57881"/>
    <w:rsid w:val="00D57BB0"/>
    <w:rsid w:val="00D60234"/>
    <w:rsid w:val="00D6026A"/>
    <w:rsid w:val="00D60709"/>
    <w:rsid w:val="00D6084D"/>
    <w:rsid w:val="00D60F59"/>
    <w:rsid w:val="00D61836"/>
    <w:rsid w:val="00D61B4C"/>
    <w:rsid w:val="00D61FEE"/>
    <w:rsid w:val="00D620BE"/>
    <w:rsid w:val="00D62841"/>
    <w:rsid w:val="00D62934"/>
    <w:rsid w:val="00D62B19"/>
    <w:rsid w:val="00D62CB6"/>
    <w:rsid w:val="00D62D3A"/>
    <w:rsid w:val="00D63991"/>
    <w:rsid w:val="00D63D73"/>
    <w:rsid w:val="00D64394"/>
    <w:rsid w:val="00D643AB"/>
    <w:rsid w:val="00D645F2"/>
    <w:rsid w:val="00D6492B"/>
    <w:rsid w:val="00D64A71"/>
    <w:rsid w:val="00D65F80"/>
    <w:rsid w:val="00D6689A"/>
    <w:rsid w:val="00D66A4C"/>
    <w:rsid w:val="00D66AAE"/>
    <w:rsid w:val="00D66EF3"/>
    <w:rsid w:val="00D6766F"/>
    <w:rsid w:val="00D677AC"/>
    <w:rsid w:val="00D677CF"/>
    <w:rsid w:val="00D7025C"/>
    <w:rsid w:val="00D70C23"/>
    <w:rsid w:val="00D71F88"/>
    <w:rsid w:val="00D720A5"/>
    <w:rsid w:val="00D720D0"/>
    <w:rsid w:val="00D7240E"/>
    <w:rsid w:val="00D72EED"/>
    <w:rsid w:val="00D7325E"/>
    <w:rsid w:val="00D7357E"/>
    <w:rsid w:val="00D735A2"/>
    <w:rsid w:val="00D73B8E"/>
    <w:rsid w:val="00D73D3C"/>
    <w:rsid w:val="00D7486D"/>
    <w:rsid w:val="00D74B9C"/>
    <w:rsid w:val="00D751A0"/>
    <w:rsid w:val="00D76109"/>
    <w:rsid w:val="00D761A8"/>
    <w:rsid w:val="00D765AB"/>
    <w:rsid w:val="00D768F3"/>
    <w:rsid w:val="00D769A4"/>
    <w:rsid w:val="00D778F0"/>
    <w:rsid w:val="00D77A49"/>
    <w:rsid w:val="00D80120"/>
    <w:rsid w:val="00D80165"/>
    <w:rsid w:val="00D809F9"/>
    <w:rsid w:val="00D80A3E"/>
    <w:rsid w:val="00D80E1E"/>
    <w:rsid w:val="00D8116C"/>
    <w:rsid w:val="00D81C49"/>
    <w:rsid w:val="00D82BA3"/>
    <w:rsid w:val="00D82FB8"/>
    <w:rsid w:val="00D84BBF"/>
    <w:rsid w:val="00D84E98"/>
    <w:rsid w:val="00D84F42"/>
    <w:rsid w:val="00D85454"/>
    <w:rsid w:val="00D85D14"/>
    <w:rsid w:val="00D86501"/>
    <w:rsid w:val="00D86BE7"/>
    <w:rsid w:val="00D8720D"/>
    <w:rsid w:val="00D8744E"/>
    <w:rsid w:val="00D87644"/>
    <w:rsid w:val="00D87CC5"/>
    <w:rsid w:val="00D90079"/>
    <w:rsid w:val="00D903E2"/>
    <w:rsid w:val="00D90AD1"/>
    <w:rsid w:val="00D90FD2"/>
    <w:rsid w:val="00D918A0"/>
    <w:rsid w:val="00D92A49"/>
    <w:rsid w:val="00D935E5"/>
    <w:rsid w:val="00D93865"/>
    <w:rsid w:val="00D93888"/>
    <w:rsid w:val="00D93DE1"/>
    <w:rsid w:val="00D945F5"/>
    <w:rsid w:val="00D94627"/>
    <w:rsid w:val="00D95264"/>
    <w:rsid w:val="00D955D8"/>
    <w:rsid w:val="00D95D2C"/>
    <w:rsid w:val="00D95F7B"/>
    <w:rsid w:val="00D96257"/>
    <w:rsid w:val="00D965C1"/>
    <w:rsid w:val="00D967C7"/>
    <w:rsid w:val="00D96825"/>
    <w:rsid w:val="00D97B20"/>
    <w:rsid w:val="00D97BA2"/>
    <w:rsid w:val="00D97E15"/>
    <w:rsid w:val="00DA0874"/>
    <w:rsid w:val="00DA0A54"/>
    <w:rsid w:val="00DA11DB"/>
    <w:rsid w:val="00DA140F"/>
    <w:rsid w:val="00DA1557"/>
    <w:rsid w:val="00DA177A"/>
    <w:rsid w:val="00DA25C3"/>
    <w:rsid w:val="00DA2976"/>
    <w:rsid w:val="00DA2AFF"/>
    <w:rsid w:val="00DA33EC"/>
    <w:rsid w:val="00DA33FE"/>
    <w:rsid w:val="00DA3418"/>
    <w:rsid w:val="00DA370C"/>
    <w:rsid w:val="00DA3AF2"/>
    <w:rsid w:val="00DA417A"/>
    <w:rsid w:val="00DA419E"/>
    <w:rsid w:val="00DA4214"/>
    <w:rsid w:val="00DA4D4C"/>
    <w:rsid w:val="00DA516A"/>
    <w:rsid w:val="00DA593E"/>
    <w:rsid w:val="00DA6210"/>
    <w:rsid w:val="00DA6835"/>
    <w:rsid w:val="00DA6842"/>
    <w:rsid w:val="00DA6922"/>
    <w:rsid w:val="00DA6A06"/>
    <w:rsid w:val="00DA7127"/>
    <w:rsid w:val="00DA785A"/>
    <w:rsid w:val="00DA79BC"/>
    <w:rsid w:val="00DA7AAA"/>
    <w:rsid w:val="00DA7F6C"/>
    <w:rsid w:val="00DB034E"/>
    <w:rsid w:val="00DB0ABB"/>
    <w:rsid w:val="00DB119B"/>
    <w:rsid w:val="00DB17B7"/>
    <w:rsid w:val="00DB1C84"/>
    <w:rsid w:val="00DB1FCE"/>
    <w:rsid w:val="00DB2513"/>
    <w:rsid w:val="00DB2772"/>
    <w:rsid w:val="00DB27A4"/>
    <w:rsid w:val="00DB2CED"/>
    <w:rsid w:val="00DB2F35"/>
    <w:rsid w:val="00DB303A"/>
    <w:rsid w:val="00DB3FD3"/>
    <w:rsid w:val="00DB42AB"/>
    <w:rsid w:val="00DB43D9"/>
    <w:rsid w:val="00DB5933"/>
    <w:rsid w:val="00DB5DBB"/>
    <w:rsid w:val="00DB7240"/>
    <w:rsid w:val="00DB74A0"/>
    <w:rsid w:val="00DB75CE"/>
    <w:rsid w:val="00DB7BDF"/>
    <w:rsid w:val="00DC0341"/>
    <w:rsid w:val="00DC063E"/>
    <w:rsid w:val="00DC0B1D"/>
    <w:rsid w:val="00DC0B2C"/>
    <w:rsid w:val="00DC1127"/>
    <w:rsid w:val="00DC11E7"/>
    <w:rsid w:val="00DC128D"/>
    <w:rsid w:val="00DC131A"/>
    <w:rsid w:val="00DC18A9"/>
    <w:rsid w:val="00DC1979"/>
    <w:rsid w:val="00DC25C3"/>
    <w:rsid w:val="00DC2A90"/>
    <w:rsid w:val="00DC369F"/>
    <w:rsid w:val="00DC37A3"/>
    <w:rsid w:val="00DC3D4F"/>
    <w:rsid w:val="00DC4869"/>
    <w:rsid w:val="00DC544D"/>
    <w:rsid w:val="00DC5A55"/>
    <w:rsid w:val="00DC5AC0"/>
    <w:rsid w:val="00DC5B53"/>
    <w:rsid w:val="00DC5D95"/>
    <w:rsid w:val="00DC6852"/>
    <w:rsid w:val="00DC7A9B"/>
    <w:rsid w:val="00DC7E23"/>
    <w:rsid w:val="00DD0722"/>
    <w:rsid w:val="00DD0941"/>
    <w:rsid w:val="00DD0B3D"/>
    <w:rsid w:val="00DD0BCA"/>
    <w:rsid w:val="00DD12C8"/>
    <w:rsid w:val="00DD132E"/>
    <w:rsid w:val="00DD1E01"/>
    <w:rsid w:val="00DD1F32"/>
    <w:rsid w:val="00DD232A"/>
    <w:rsid w:val="00DD2BAC"/>
    <w:rsid w:val="00DD2C5E"/>
    <w:rsid w:val="00DD2E07"/>
    <w:rsid w:val="00DD3356"/>
    <w:rsid w:val="00DD3618"/>
    <w:rsid w:val="00DD42DB"/>
    <w:rsid w:val="00DD44FF"/>
    <w:rsid w:val="00DD4A9C"/>
    <w:rsid w:val="00DD514B"/>
    <w:rsid w:val="00DD5157"/>
    <w:rsid w:val="00DD5164"/>
    <w:rsid w:val="00DD5591"/>
    <w:rsid w:val="00DD5B93"/>
    <w:rsid w:val="00DD5BDB"/>
    <w:rsid w:val="00DD5C2A"/>
    <w:rsid w:val="00DD5D9D"/>
    <w:rsid w:val="00DD6024"/>
    <w:rsid w:val="00DD669A"/>
    <w:rsid w:val="00DD6A19"/>
    <w:rsid w:val="00DD6F0D"/>
    <w:rsid w:val="00DD7402"/>
    <w:rsid w:val="00DD76F4"/>
    <w:rsid w:val="00DD7885"/>
    <w:rsid w:val="00DE0113"/>
    <w:rsid w:val="00DE109F"/>
    <w:rsid w:val="00DE18EB"/>
    <w:rsid w:val="00DE1DC6"/>
    <w:rsid w:val="00DE28DC"/>
    <w:rsid w:val="00DE298F"/>
    <w:rsid w:val="00DE2D59"/>
    <w:rsid w:val="00DE3A5B"/>
    <w:rsid w:val="00DE3C45"/>
    <w:rsid w:val="00DE502B"/>
    <w:rsid w:val="00DE5768"/>
    <w:rsid w:val="00DE5897"/>
    <w:rsid w:val="00DE5BDB"/>
    <w:rsid w:val="00DE6456"/>
    <w:rsid w:val="00DE6520"/>
    <w:rsid w:val="00DE719D"/>
    <w:rsid w:val="00DE71C9"/>
    <w:rsid w:val="00DE7583"/>
    <w:rsid w:val="00DF052E"/>
    <w:rsid w:val="00DF0A45"/>
    <w:rsid w:val="00DF12EC"/>
    <w:rsid w:val="00DF14AE"/>
    <w:rsid w:val="00DF18E7"/>
    <w:rsid w:val="00DF24C4"/>
    <w:rsid w:val="00DF263A"/>
    <w:rsid w:val="00DF2D8E"/>
    <w:rsid w:val="00DF2E63"/>
    <w:rsid w:val="00DF3549"/>
    <w:rsid w:val="00DF398F"/>
    <w:rsid w:val="00DF4B22"/>
    <w:rsid w:val="00DF4C20"/>
    <w:rsid w:val="00DF4F1B"/>
    <w:rsid w:val="00DF592C"/>
    <w:rsid w:val="00DF6A06"/>
    <w:rsid w:val="00DF6AD7"/>
    <w:rsid w:val="00DF730B"/>
    <w:rsid w:val="00DF747B"/>
    <w:rsid w:val="00DF773C"/>
    <w:rsid w:val="00E00038"/>
    <w:rsid w:val="00E004F7"/>
    <w:rsid w:val="00E00517"/>
    <w:rsid w:val="00E005C8"/>
    <w:rsid w:val="00E00E8D"/>
    <w:rsid w:val="00E0209F"/>
    <w:rsid w:val="00E024A9"/>
    <w:rsid w:val="00E0283A"/>
    <w:rsid w:val="00E0305D"/>
    <w:rsid w:val="00E0331A"/>
    <w:rsid w:val="00E033BD"/>
    <w:rsid w:val="00E0369E"/>
    <w:rsid w:val="00E03784"/>
    <w:rsid w:val="00E039FC"/>
    <w:rsid w:val="00E04AB9"/>
    <w:rsid w:val="00E054F7"/>
    <w:rsid w:val="00E058A7"/>
    <w:rsid w:val="00E05B93"/>
    <w:rsid w:val="00E05BDE"/>
    <w:rsid w:val="00E06066"/>
    <w:rsid w:val="00E06A3F"/>
    <w:rsid w:val="00E06C6A"/>
    <w:rsid w:val="00E06DB6"/>
    <w:rsid w:val="00E06DBD"/>
    <w:rsid w:val="00E06ECE"/>
    <w:rsid w:val="00E06FA3"/>
    <w:rsid w:val="00E07BC7"/>
    <w:rsid w:val="00E07DD7"/>
    <w:rsid w:val="00E11111"/>
    <w:rsid w:val="00E1143F"/>
    <w:rsid w:val="00E11707"/>
    <w:rsid w:val="00E11F24"/>
    <w:rsid w:val="00E1248D"/>
    <w:rsid w:val="00E12751"/>
    <w:rsid w:val="00E12DB9"/>
    <w:rsid w:val="00E12EDB"/>
    <w:rsid w:val="00E12F5E"/>
    <w:rsid w:val="00E13091"/>
    <w:rsid w:val="00E14B87"/>
    <w:rsid w:val="00E14D0D"/>
    <w:rsid w:val="00E153FF"/>
    <w:rsid w:val="00E1550D"/>
    <w:rsid w:val="00E1586F"/>
    <w:rsid w:val="00E1619F"/>
    <w:rsid w:val="00E16DC0"/>
    <w:rsid w:val="00E17472"/>
    <w:rsid w:val="00E17FB4"/>
    <w:rsid w:val="00E20602"/>
    <w:rsid w:val="00E2064E"/>
    <w:rsid w:val="00E206ED"/>
    <w:rsid w:val="00E208A4"/>
    <w:rsid w:val="00E2098A"/>
    <w:rsid w:val="00E212D7"/>
    <w:rsid w:val="00E21476"/>
    <w:rsid w:val="00E21CAF"/>
    <w:rsid w:val="00E21D29"/>
    <w:rsid w:val="00E224F1"/>
    <w:rsid w:val="00E226C6"/>
    <w:rsid w:val="00E228A9"/>
    <w:rsid w:val="00E23147"/>
    <w:rsid w:val="00E23599"/>
    <w:rsid w:val="00E23B81"/>
    <w:rsid w:val="00E25315"/>
    <w:rsid w:val="00E2570C"/>
    <w:rsid w:val="00E258CC"/>
    <w:rsid w:val="00E25EA9"/>
    <w:rsid w:val="00E25EEC"/>
    <w:rsid w:val="00E27294"/>
    <w:rsid w:val="00E27411"/>
    <w:rsid w:val="00E3023B"/>
    <w:rsid w:val="00E305F2"/>
    <w:rsid w:val="00E307CB"/>
    <w:rsid w:val="00E30D7F"/>
    <w:rsid w:val="00E30E9A"/>
    <w:rsid w:val="00E30FC8"/>
    <w:rsid w:val="00E31EFC"/>
    <w:rsid w:val="00E325B6"/>
    <w:rsid w:val="00E330AA"/>
    <w:rsid w:val="00E330CF"/>
    <w:rsid w:val="00E3310D"/>
    <w:rsid w:val="00E342B1"/>
    <w:rsid w:val="00E3444F"/>
    <w:rsid w:val="00E3458C"/>
    <w:rsid w:val="00E3467E"/>
    <w:rsid w:val="00E349E9"/>
    <w:rsid w:val="00E34F68"/>
    <w:rsid w:val="00E353D1"/>
    <w:rsid w:val="00E356E7"/>
    <w:rsid w:val="00E35F9E"/>
    <w:rsid w:val="00E36625"/>
    <w:rsid w:val="00E3678B"/>
    <w:rsid w:val="00E36A40"/>
    <w:rsid w:val="00E375C5"/>
    <w:rsid w:val="00E3796F"/>
    <w:rsid w:val="00E37DD7"/>
    <w:rsid w:val="00E400A5"/>
    <w:rsid w:val="00E404CB"/>
    <w:rsid w:val="00E417FE"/>
    <w:rsid w:val="00E41894"/>
    <w:rsid w:val="00E41A5E"/>
    <w:rsid w:val="00E41C06"/>
    <w:rsid w:val="00E4202B"/>
    <w:rsid w:val="00E42467"/>
    <w:rsid w:val="00E42AC9"/>
    <w:rsid w:val="00E42CFC"/>
    <w:rsid w:val="00E4307B"/>
    <w:rsid w:val="00E43A04"/>
    <w:rsid w:val="00E4464E"/>
    <w:rsid w:val="00E44655"/>
    <w:rsid w:val="00E44A6C"/>
    <w:rsid w:val="00E44CFB"/>
    <w:rsid w:val="00E44F5F"/>
    <w:rsid w:val="00E450C1"/>
    <w:rsid w:val="00E45D3F"/>
    <w:rsid w:val="00E46A29"/>
    <w:rsid w:val="00E46B59"/>
    <w:rsid w:val="00E4700B"/>
    <w:rsid w:val="00E47BDA"/>
    <w:rsid w:val="00E47BE9"/>
    <w:rsid w:val="00E505AC"/>
    <w:rsid w:val="00E50A64"/>
    <w:rsid w:val="00E50C6B"/>
    <w:rsid w:val="00E5115D"/>
    <w:rsid w:val="00E5117A"/>
    <w:rsid w:val="00E5119A"/>
    <w:rsid w:val="00E514C8"/>
    <w:rsid w:val="00E51A7C"/>
    <w:rsid w:val="00E51E1F"/>
    <w:rsid w:val="00E52634"/>
    <w:rsid w:val="00E53319"/>
    <w:rsid w:val="00E533E5"/>
    <w:rsid w:val="00E53465"/>
    <w:rsid w:val="00E5369D"/>
    <w:rsid w:val="00E539F5"/>
    <w:rsid w:val="00E53A17"/>
    <w:rsid w:val="00E53B0C"/>
    <w:rsid w:val="00E53FA1"/>
    <w:rsid w:val="00E5429A"/>
    <w:rsid w:val="00E544CD"/>
    <w:rsid w:val="00E544EE"/>
    <w:rsid w:val="00E544F9"/>
    <w:rsid w:val="00E54600"/>
    <w:rsid w:val="00E55541"/>
    <w:rsid w:val="00E55711"/>
    <w:rsid w:val="00E573B3"/>
    <w:rsid w:val="00E57474"/>
    <w:rsid w:val="00E575E1"/>
    <w:rsid w:val="00E5786B"/>
    <w:rsid w:val="00E60085"/>
    <w:rsid w:val="00E60513"/>
    <w:rsid w:val="00E608BF"/>
    <w:rsid w:val="00E60DA5"/>
    <w:rsid w:val="00E61949"/>
    <w:rsid w:val="00E62270"/>
    <w:rsid w:val="00E6280C"/>
    <w:rsid w:val="00E633BB"/>
    <w:rsid w:val="00E64319"/>
    <w:rsid w:val="00E644A1"/>
    <w:rsid w:val="00E64762"/>
    <w:rsid w:val="00E647C1"/>
    <w:rsid w:val="00E6488C"/>
    <w:rsid w:val="00E6592F"/>
    <w:rsid w:val="00E66371"/>
    <w:rsid w:val="00E6669C"/>
    <w:rsid w:val="00E66956"/>
    <w:rsid w:val="00E66CCE"/>
    <w:rsid w:val="00E672A0"/>
    <w:rsid w:val="00E67B8D"/>
    <w:rsid w:val="00E67C61"/>
    <w:rsid w:val="00E67C6D"/>
    <w:rsid w:val="00E701E8"/>
    <w:rsid w:val="00E707E3"/>
    <w:rsid w:val="00E70963"/>
    <w:rsid w:val="00E70B3F"/>
    <w:rsid w:val="00E70D5E"/>
    <w:rsid w:val="00E710C2"/>
    <w:rsid w:val="00E71211"/>
    <w:rsid w:val="00E7161B"/>
    <w:rsid w:val="00E71D3A"/>
    <w:rsid w:val="00E72B9B"/>
    <w:rsid w:val="00E739D8"/>
    <w:rsid w:val="00E73B77"/>
    <w:rsid w:val="00E7436A"/>
    <w:rsid w:val="00E744CF"/>
    <w:rsid w:val="00E748DA"/>
    <w:rsid w:val="00E74D7E"/>
    <w:rsid w:val="00E75424"/>
    <w:rsid w:val="00E75AAF"/>
    <w:rsid w:val="00E75EFF"/>
    <w:rsid w:val="00E75F5B"/>
    <w:rsid w:val="00E76382"/>
    <w:rsid w:val="00E76390"/>
    <w:rsid w:val="00E7679A"/>
    <w:rsid w:val="00E76C2F"/>
    <w:rsid w:val="00E76E7F"/>
    <w:rsid w:val="00E76F90"/>
    <w:rsid w:val="00E772F5"/>
    <w:rsid w:val="00E80707"/>
    <w:rsid w:val="00E80B0B"/>
    <w:rsid w:val="00E81502"/>
    <w:rsid w:val="00E818F2"/>
    <w:rsid w:val="00E82004"/>
    <w:rsid w:val="00E82098"/>
    <w:rsid w:val="00E83A86"/>
    <w:rsid w:val="00E845A9"/>
    <w:rsid w:val="00E8470E"/>
    <w:rsid w:val="00E855E5"/>
    <w:rsid w:val="00E85AAE"/>
    <w:rsid w:val="00E85DB4"/>
    <w:rsid w:val="00E86785"/>
    <w:rsid w:val="00E86C43"/>
    <w:rsid w:val="00E86FF9"/>
    <w:rsid w:val="00E87C84"/>
    <w:rsid w:val="00E87CB9"/>
    <w:rsid w:val="00E87CD4"/>
    <w:rsid w:val="00E900CA"/>
    <w:rsid w:val="00E910A5"/>
    <w:rsid w:val="00E91CF7"/>
    <w:rsid w:val="00E9204D"/>
    <w:rsid w:val="00E927FC"/>
    <w:rsid w:val="00E935AC"/>
    <w:rsid w:val="00E9496C"/>
    <w:rsid w:val="00E952A2"/>
    <w:rsid w:val="00E957E0"/>
    <w:rsid w:val="00E95B2D"/>
    <w:rsid w:val="00E95FDD"/>
    <w:rsid w:val="00E96739"/>
    <w:rsid w:val="00E9686C"/>
    <w:rsid w:val="00E96AD8"/>
    <w:rsid w:val="00E9794E"/>
    <w:rsid w:val="00E97F6E"/>
    <w:rsid w:val="00EA0A1C"/>
    <w:rsid w:val="00EA0ADD"/>
    <w:rsid w:val="00EA1147"/>
    <w:rsid w:val="00EA1686"/>
    <w:rsid w:val="00EA1836"/>
    <w:rsid w:val="00EA1A69"/>
    <w:rsid w:val="00EA2189"/>
    <w:rsid w:val="00EA23A1"/>
    <w:rsid w:val="00EA243C"/>
    <w:rsid w:val="00EA296B"/>
    <w:rsid w:val="00EA2991"/>
    <w:rsid w:val="00EA3B4B"/>
    <w:rsid w:val="00EA3E4E"/>
    <w:rsid w:val="00EA449A"/>
    <w:rsid w:val="00EA4639"/>
    <w:rsid w:val="00EA477A"/>
    <w:rsid w:val="00EA672D"/>
    <w:rsid w:val="00EA6D93"/>
    <w:rsid w:val="00EA76D8"/>
    <w:rsid w:val="00EA7B74"/>
    <w:rsid w:val="00EB0E90"/>
    <w:rsid w:val="00EB1A5A"/>
    <w:rsid w:val="00EB1B45"/>
    <w:rsid w:val="00EB29CF"/>
    <w:rsid w:val="00EB2A50"/>
    <w:rsid w:val="00EB2A60"/>
    <w:rsid w:val="00EB3296"/>
    <w:rsid w:val="00EB39BC"/>
    <w:rsid w:val="00EB3CCB"/>
    <w:rsid w:val="00EB3F70"/>
    <w:rsid w:val="00EB3FCB"/>
    <w:rsid w:val="00EB4559"/>
    <w:rsid w:val="00EB465C"/>
    <w:rsid w:val="00EB56FB"/>
    <w:rsid w:val="00EB57D9"/>
    <w:rsid w:val="00EB59AB"/>
    <w:rsid w:val="00EB5F08"/>
    <w:rsid w:val="00EB64B7"/>
    <w:rsid w:val="00EB6BF5"/>
    <w:rsid w:val="00EB6C62"/>
    <w:rsid w:val="00EB6DCA"/>
    <w:rsid w:val="00EB7268"/>
    <w:rsid w:val="00EC1A0E"/>
    <w:rsid w:val="00EC1B3A"/>
    <w:rsid w:val="00EC2639"/>
    <w:rsid w:val="00EC2C69"/>
    <w:rsid w:val="00EC303C"/>
    <w:rsid w:val="00EC3286"/>
    <w:rsid w:val="00EC3E89"/>
    <w:rsid w:val="00EC3EB3"/>
    <w:rsid w:val="00EC42A4"/>
    <w:rsid w:val="00EC591D"/>
    <w:rsid w:val="00EC6DA7"/>
    <w:rsid w:val="00EC6E87"/>
    <w:rsid w:val="00EC6F94"/>
    <w:rsid w:val="00EC7356"/>
    <w:rsid w:val="00EC7C22"/>
    <w:rsid w:val="00ED02BD"/>
    <w:rsid w:val="00ED0495"/>
    <w:rsid w:val="00ED050A"/>
    <w:rsid w:val="00ED07E1"/>
    <w:rsid w:val="00ED089D"/>
    <w:rsid w:val="00ED0E2F"/>
    <w:rsid w:val="00ED3BFF"/>
    <w:rsid w:val="00ED3E1A"/>
    <w:rsid w:val="00ED3F59"/>
    <w:rsid w:val="00ED43B9"/>
    <w:rsid w:val="00ED4415"/>
    <w:rsid w:val="00ED4750"/>
    <w:rsid w:val="00ED4EF4"/>
    <w:rsid w:val="00ED5439"/>
    <w:rsid w:val="00ED590C"/>
    <w:rsid w:val="00ED658A"/>
    <w:rsid w:val="00ED6D81"/>
    <w:rsid w:val="00ED7624"/>
    <w:rsid w:val="00ED798C"/>
    <w:rsid w:val="00ED7E50"/>
    <w:rsid w:val="00EE022A"/>
    <w:rsid w:val="00EE073A"/>
    <w:rsid w:val="00EE12BE"/>
    <w:rsid w:val="00EE12DB"/>
    <w:rsid w:val="00EE144D"/>
    <w:rsid w:val="00EE3664"/>
    <w:rsid w:val="00EE3CEB"/>
    <w:rsid w:val="00EE4C67"/>
    <w:rsid w:val="00EE4FCB"/>
    <w:rsid w:val="00EE50D0"/>
    <w:rsid w:val="00EE5150"/>
    <w:rsid w:val="00EE54E0"/>
    <w:rsid w:val="00EE5B75"/>
    <w:rsid w:val="00EE5CD0"/>
    <w:rsid w:val="00EE6BC0"/>
    <w:rsid w:val="00EE7371"/>
    <w:rsid w:val="00EE78CA"/>
    <w:rsid w:val="00EF00E2"/>
    <w:rsid w:val="00EF04B4"/>
    <w:rsid w:val="00EF060E"/>
    <w:rsid w:val="00EF0DDB"/>
    <w:rsid w:val="00EF10BE"/>
    <w:rsid w:val="00EF1187"/>
    <w:rsid w:val="00EF205F"/>
    <w:rsid w:val="00EF2241"/>
    <w:rsid w:val="00EF2300"/>
    <w:rsid w:val="00EF24DF"/>
    <w:rsid w:val="00EF2C5E"/>
    <w:rsid w:val="00EF384C"/>
    <w:rsid w:val="00EF3928"/>
    <w:rsid w:val="00EF407B"/>
    <w:rsid w:val="00EF449F"/>
    <w:rsid w:val="00EF453D"/>
    <w:rsid w:val="00EF4635"/>
    <w:rsid w:val="00EF49EA"/>
    <w:rsid w:val="00EF5979"/>
    <w:rsid w:val="00EF5BD8"/>
    <w:rsid w:val="00EF62EF"/>
    <w:rsid w:val="00EF6429"/>
    <w:rsid w:val="00EF72C3"/>
    <w:rsid w:val="00EF7B85"/>
    <w:rsid w:val="00F0009E"/>
    <w:rsid w:val="00F00878"/>
    <w:rsid w:val="00F01222"/>
    <w:rsid w:val="00F0133A"/>
    <w:rsid w:val="00F01F8B"/>
    <w:rsid w:val="00F02010"/>
    <w:rsid w:val="00F0223C"/>
    <w:rsid w:val="00F02AE9"/>
    <w:rsid w:val="00F02FFF"/>
    <w:rsid w:val="00F03188"/>
    <w:rsid w:val="00F0325D"/>
    <w:rsid w:val="00F044DD"/>
    <w:rsid w:val="00F04F38"/>
    <w:rsid w:val="00F0685C"/>
    <w:rsid w:val="00F07728"/>
    <w:rsid w:val="00F10286"/>
    <w:rsid w:val="00F10480"/>
    <w:rsid w:val="00F109B3"/>
    <w:rsid w:val="00F10B04"/>
    <w:rsid w:val="00F10D1E"/>
    <w:rsid w:val="00F10D8F"/>
    <w:rsid w:val="00F11001"/>
    <w:rsid w:val="00F11052"/>
    <w:rsid w:val="00F11276"/>
    <w:rsid w:val="00F11426"/>
    <w:rsid w:val="00F115DC"/>
    <w:rsid w:val="00F11A03"/>
    <w:rsid w:val="00F12315"/>
    <w:rsid w:val="00F12D26"/>
    <w:rsid w:val="00F12DD7"/>
    <w:rsid w:val="00F12F51"/>
    <w:rsid w:val="00F12FBD"/>
    <w:rsid w:val="00F13B2C"/>
    <w:rsid w:val="00F1412D"/>
    <w:rsid w:val="00F1495B"/>
    <w:rsid w:val="00F14BFA"/>
    <w:rsid w:val="00F15402"/>
    <w:rsid w:val="00F155AF"/>
    <w:rsid w:val="00F158FA"/>
    <w:rsid w:val="00F15A03"/>
    <w:rsid w:val="00F15C4C"/>
    <w:rsid w:val="00F15F1A"/>
    <w:rsid w:val="00F15FCD"/>
    <w:rsid w:val="00F1671D"/>
    <w:rsid w:val="00F17206"/>
    <w:rsid w:val="00F172E5"/>
    <w:rsid w:val="00F175B4"/>
    <w:rsid w:val="00F17D31"/>
    <w:rsid w:val="00F201C9"/>
    <w:rsid w:val="00F2024E"/>
    <w:rsid w:val="00F20DC7"/>
    <w:rsid w:val="00F2116C"/>
    <w:rsid w:val="00F212AC"/>
    <w:rsid w:val="00F218B3"/>
    <w:rsid w:val="00F21F93"/>
    <w:rsid w:val="00F2292D"/>
    <w:rsid w:val="00F22CC7"/>
    <w:rsid w:val="00F230D0"/>
    <w:rsid w:val="00F23127"/>
    <w:rsid w:val="00F23147"/>
    <w:rsid w:val="00F231FC"/>
    <w:rsid w:val="00F23B00"/>
    <w:rsid w:val="00F246C3"/>
    <w:rsid w:val="00F24840"/>
    <w:rsid w:val="00F24EC3"/>
    <w:rsid w:val="00F253CA"/>
    <w:rsid w:val="00F25607"/>
    <w:rsid w:val="00F2630D"/>
    <w:rsid w:val="00F267E6"/>
    <w:rsid w:val="00F26CAA"/>
    <w:rsid w:val="00F26FDC"/>
    <w:rsid w:val="00F279C1"/>
    <w:rsid w:val="00F27A27"/>
    <w:rsid w:val="00F27DB2"/>
    <w:rsid w:val="00F27E4A"/>
    <w:rsid w:val="00F27FA9"/>
    <w:rsid w:val="00F30FE8"/>
    <w:rsid w:val="00F3129B"/>
    <w:rsid w:val="00F31609"/>
    <w:rsid w:val="00F31E62"/>
    <w:rsid w:val="00F326DB"/>
    <w:rsid w:val="00F32DBC"/>
    <w:rsid w:val="00F339FC"/>
    <w:rsid w:val="00F344C6"/>
    <w:rsid w:val="00F34A3B"/>
    <w:rsid w:val="00F34F97"/>
    <w:rsid w:val="00F352C7"/>
    <w:rsid w:val="00F35332"/>
    <w:rsid w:val="00F35659"/>
    <w:rsid w:val="00F367AB"/>
    <w:rsid w:val="00F36D40"/>
    <w:rsid w:val="00F3776D"/>
    <w:rsid w:val="00F37DF8"/>
    <w:rsid w:val="00F40002"/>
    <w:rsid w:val="00F409DD"/>
    <w:rsid w:val="00F40A08"/>
    <w:rsid w:val="00F41B29"/>
    <w:rsid w:val="00F427BE"/>
    <w:rsid w:val="00F42DD0"/>
    <w:rsid w:val="00F4332F"/>
    <w:rsid w:val="00F434FC"/>
    <w:rsid w:val="00F43EB5"/>
    <w:rsid w:val="00F44A68"/>
    <w:rsid w:val="00F44FFE"/>
    <w:rsid w:val="00F450FA"/>
    <w:rsid w:val="00F4510C"/>
    <w:rsid w:val="00F46E62"/>
    <w:rsid w:val="00F47272"/>
    <w:rsid w:val="00F47521"/>
    <w:rsid w:val="00F47A4A"/>
    <w:rsid w:val="00F47AA4"/>
    <w:rsid w:val="00F47E25"/>
    <w:rsid w:val="00F50A4A"/>
    <w:rsid w:val="00F51281"/>
    <w:rsid w:val="00F5195D"/>
    <w:rsid w:val="00F51C03"/>
    <w:rsid w:val="00F52121"/>
    <w:rsid w:val="00F52180"/>
    <w:rsid w:val="00F5223F"/>
    <w:rsid w:val="00F52610"/>
    <w:rsid w:val="00F52AD4"/>
    <w:rsid w:val="00F52C7B"/>
    <w:rsid w:val="00F52E41"/>
    <w:rsid w:val="00F53382"/>
    <w:rsid w:val="00F53532"/>
    <w:rsid w:val="00F54EC4"/>
    <w:rsid w:val="00F55980"/>
    <w:rsid w:val="00F56148"/>
    <w:rsid w:val="00F5654A"/>
    <w:rsid w:val="00F566F7"/>
    <w:rsid w:val="00F56A94"/>
    <w:rsid w:val="00F57241"/>
    <w:rsid w:val="00F57725"/>
    <w:rsid w:val="00F600D8"/>
    <w:rsid w:val="00F60A57"/>
    <w:rsid w:val="00F612DF"/>
    <w:rsid w:val="00F61543"/>
    <w:rsid w:val="00F61EB0"/>
    <w:rsid w:val="00F61F05"/>
    <w:rsid w:val="00F6236A"/>
    <w:rsid w:val="00F62C66"/>
    <w:rsid w:val="00F63218"/>
    <w:rsid w:val="00F636EC"/>
    <w:rsid w:val="00F63A9B"/>
    <w:rsid w:val="00F63D69"/>
    <w:rsid w:val="00F63FE0"/>
    <w:rsid w:val="00F64AF5"/>
    <w:rsid w:val="00F64CBD"/>
    <w:rsid w:val="00F65474"/>
    <w:rsid w:val="00F65FE7"/>
    <w:rsid w:val="00F661A6"/>
    <w:rsid w:val="00F66A91"/>
    <w:rsid w:val="00F6708C"/>
    <w:rsid w:val="00F67573"/>
    <w:rsid w:val="00F67A94"/>
    <w:rsid w:val="00F67B80"/>
    <w:rsid w:val="00F67C55"/>
    <w:rsid w:val="00F67D24"/>
    <w:rsid w:val="00F67EAD"/>
    <w:rsid w:val="00F70050"/>
    <w:rsid w:val="00F7053A"/>
    <w:rsid w:val="00F70859"/>
    <w:rsid w:val="00F71476"/>
    <w:rsid w:val="00F71ABE"/>
    <w:rsid w:val="00F73C71"/>
    <w:rsid w:val="00F73F87"/>
    <w:rsid w:val="00F7419D"/>
    <w:rsid w:val="00F74319"/>
    <w:rsid w:val="00F744C7"/>
    <w:rsid w:val="00F74A02"/>
    <w:rsid w:val="00F74D15"/>
    <w:rsid w:val="00F7595A"/>
    <w:rsid w:val="00F75CEF"/>
    <w:rsid w:val="00F75D55"/>
    <w:rsid w:val="00F75EC2"/>
    <w:rsid w:val="00F76CB9"/>
    <w:rsid w:val="00F771DA"/>
    <w:rsid w:val="00F77734"/>
    <w:rsid w:val="00F77A3B"/>
    <w:rsid w:val="00F77AAA"/>
    <w:rsid w:val="00F77AAE"/>
    <w:rsid w:val="00F77C3D"/>
    <w:rsid w:val="00F77E87"/>
    <w:rsid w:val="00F816B0"/>
    <w:rsid w:val="00F818B8"/>
    <w:rsid w:val="00F81D2D"/>
    <w:rsid w:val="00F81E15"/>
    <w:rsid w:val="00F81E97"/>
    <w:rsid w:val="00F820DC"/>
    <w:rsid w:val="00F83749"/>
    <w:rsid w:val="00F84699"/>
    <w:rsid w:val="00F8470E"/>
    <w:rsid w:val="00F84EFC"/>
    <w:rsid w:val="00F854B4"/>
    <w:rsid w:val="00F85815"/>
    <w:rsid w:val="00F8698E"/>
    <w:rsid w:val="00F87862"/>
    <w:rsid w:val="00F90F1A"/>
    <w:rsid w:val="00F90F9F"/>
    <w:rsid w:val="00F91C82"/>
    <w:rsid w:val="00F924ED"/>
    <w:rsid w:val="00F92997"/>
    <w:rsid w:val="00F92A59"/>
    <w:rsid w:val="00F931C2"/>
    <w:rsid w:val="00F93399"/>
    <w:rsid w:val="00F933D2"/>
    <w:rsid w:val="00F93525"/>
    <w:rsid w:val="00F93941"/>
    <w:rsid w:val="00F93BE5"/>
    <w:rsid w:val="00F94506"/>
    <w:rsid w:val="00F947C7"/>
    <w:rsid w:val="00F94F83"/>
    <w:rsid w:val="00F9537E"/>
    <w:rsid w:val="00F95705"/>
    <w:rsid w:val="00F95B66"/>
    <w:rsid w:val="00F95CC9"/>
    <w:rsid w:val="00F95CEE"/>
    <w:rsid w:val="00F966AD"/>
    <w:rsid w:val="00F9691D"/>
    <w:rsid w:val="00F96EBE"/>
    <w:rsid w:val="00F97A28"/>
    <w:rsid w:val="00F97ADF"/>
    <w:rsid w:val="00F97B5F"/>
    <w:rsid w:val="00F97D16"/>
    <w:rsid w:val="00F97FCB"/>
    <w:rsid w:val="00FA01CF"/>
    <w:rsid w:val="00FA0A28"/>
    <w:rsid w:val="00FA0AA1"/>
    <w:rsid w:val="00FA0DEB"/>
    <w:rsid w:val="00FA1444"/>
    <w:rsid w:val="00FA1C33"/>
    <w:rsid w:val="00FA1ED7"/>
    <w:rsid w:val="00FA24D0"/>
    <w:rsid w:val="00FA25DF"/>
    <w:rsid w:val="00FA26DC"/>
    <w:rsid w:val="00FA2EC8"/>
    <w:rsid w:val="00FA3151"/>
    <w:rsid w:val="00FA31D5"/>
    <w:rsid w:val="00FA3357"/>
    <w:rsid w:val="00FA4717"/>
    <w:rsid w:val="00FA4917"/>
    <w:rsid w:val="00FA593D"/>
    <w:rsid w:val="00FA594B"/>
    <w:rsid w:val="00FA65C4"/>
    <w:rsid w:val="00FA6961"/>
    <w:rsid w:val="00FA746F"/>
    <w:rsid w:val="00FA7ADE"/>
    <w:rsid w:val="00FA7C7A"/>
    <w:rsid w:val="00FB03A6"/>
    <w:rsid w:val="00FB04B4"/>
    <w:rsid w:val="00FB0ADA"/>
    <w:rsid w:val="00FB0DA3"/>
    <w:rsid w:val="00FB0E38"/>
    <w:rsid w:val="00FB137E"/>
    <w:rsid w:val="00FB1C71"/>
    <w:rsid w:val="00FB2CE1"/>
    <w:rsid w:val="00FB399C"/>
    <w:rsid w:val="00FB451E"/>
    <w:rsid w:val="00FB4917"/>
    <w:rsid w:val="00FB53A2"/>
    <w:rsid w:val="00FB5593"/>
    <w:rsid w:val="00FB5AC5"/>
    <w:rsid w:val="00FB5AE9"/>
    <w:rsid w:val="00FB6605"/>
    <w:rsid w:val="00FB6799"/>
    <w:rsid w:val="00FB6A3A"/>
    <w:rsid w:val="00FB7546"/>
    <w:rsid w:val="00FB755C"/>
    <w:rsid w:val="00FB7A29"/>
    <w:rsid w:val="00FC02D9"/>
    <w:rsid w:val="00FC0DCE"/>
    <w:rsid w:val="00FC0E79"/>
    <w:rsid w:val="00FC2316"/>
    <w:rsid w:val="00FC26BD"/>
    <w:rsid w:val="00FC2746"/>
    <w:rsid w:val="00FC28A4"/>
    <w:rsid w:val="00FC28CD"/>
    <w:rsid w:val="00FC28D0"/>
    <w:rsid w:val="00FC29E1"/>
    <w:rsid w:val="00FC2C98"/>
    <w:rsid w:val="00FC3303"/>
    <w:rsid w:val="00FC3B2E"/>
    <w:rsid w:val="00FC411A"/>
    <w:rsid w:val="00FC41D1"/>
    <w:rsid w:val="00FC4FC7"/>
    <w:rsid w:val="00FC5C99"/>
    <w:rsid w:val="00FC5EB1"/>
    <w:rsid w:val="00FC5F8E"/>
    <w:rsid w:val="00FC6C3D"/>
    <w:rsid w:val="00FC7747"/>
    <w:rsid w:val="00FD0C5F"/>
    <w:rsid w:val="00FD0E58"/>
    <w:rsid w:val="00FD1D4A"/>
    <w:rsid w:val="00FD23E1"/>
    <w:rsid w:val="00FD245E"/>
    <w:rsid w:val="00FD288C"/>
    <w:rsid w:val="00FD2C7F"/>
    <w:rsid w:val="00FD2C9E"/>
    <w:rsid w:val="00FD338E"/>
    <w:rsid w:val="00FD3916"/>
    <w:rsid w:val="00FD3D4D"/>
    <w:rsid w:val="00FD4050"/>
    <w:rsid w:val="00FD41D1"/>
    <w:rsid w:val="00FD43A5"/>
    <w:rsid w:val="00FD48B0"/>
    <w:rsid w:val="00FD4E66"/>
    <w:rsid w:val="00FD5417"/>
    <w:rsid w:val="00FD6040"/>
    <w:rsid w:val="00FD609E"/>
    <w:rsid w:val="00FD773A"/>
    <w:rsid w:val="00FD777D"/>
    <w:rsid w:val="00FD7844"/>
    <w:rsid w:val="00FD7D5F"/>
    <w:rsid w:val="00FE0525"/>
    <w:rsid w:val="00FE05F5"/>
    <w:rsid w:val="00FE1284"/>
    <w:rsid w:val="00FE176D"/>
    <w:rsid w:val="00FE2036"/>
    <w:rsid w:val="00FE20EF"/>
    <w:rsid w:val="00FE23BB"/>
    <w:rsid w:val="00FE25D9"/>
    <w:rsid w:val="00FE298B"/>
    <w:rsid w:val="00FE3566"/>
    <w:rsid w:val="00FE37DF"/>
    <w:rsid w:val="00FE3AB6"/>
    <w:rsid w:val="00FE3CA3"/>
    <w:rsid w:val="00FE40CF"/>
    <w:rsid w:val="00FE42D5"/>
    <w:rsid w:val="00FE4E5A"/>
    <w:rsid w:val="00FE5083"/>
    <w:rsid w:val="00FE5B58"/>
    <w:rsid w:val="00FE6450"/>
    <w:rsid w:val="00FE69F9"/>
    <w:rsid w:val="00FE6F3B"/>
    <w:rsid w:val="00FE6F81"/>
    <w:rsid w:val="00FE71EB"/>
    <w:rsid w:val="00FE735E"/>
    <w:rsid w:val="00FE7509"/>
    <w:rsid w:val="00FE7C5E"/>
    <w:rsid w:val="00FE7E6B"/>
    <w:rsid w:val="00FF05D6"/>
    <w:rsid w:val="00FF093C"/>
    <w:rsid w:val="00FF0948"/>
    <w:rsid w:val="00FF22EB"/>
    <w:rsid w:val="00FF284E"/>
    <w:rsid w:val="00FF2CA9"/>
    <w:rsid w:val="00FF317A"/>
    <w:rsid w:val="00FF36FC"/>
    <w:rsid w:val="00FF3A90"/>
    <w:rsid w:val="00FF3D57"/>
    <w:rsid w:val="00FF468D"/>
    <w:rsid w:val="00FF4D70"/>
    <w:rsid w:val="00FF61E8"/>
    <w:rsid w:val="00FF6346"/>
    <w:rsid w:val="00FF67F1"/>
    <w:rsid w:val="00FF799D"/>
    <w:rsid w:val="00FF7A5C"/>
    <w:rsid w:val="00FF7FF5"/>
    <w:rsid w:val="018BBAD5"/>
    <w:rsid w:val="08BA2DBE"/>
    <w:rsid w:val="0D259C8D"/>
    <w:rsid w:val="0D3B5011"/>
    <w:rsid w:val="0EE61166"/>
    <w:rsid w:val="0F5C52FC"/>
    <w:rsid w:val="16B4C373"/>
    <w:rsid w:val="171037C2"/>
    <w:rsid w:val="1E2A4048"/>
    <w:rsid w:val="228BCE1A"/>
    <w:rsid w:val="2A05B034"/>
    <w:rsid w:val="2A837539"/>
    <w:rsid w:val="312D6AF6"/>
    <w:rsid w:val="3220D560"/>
    <w:rsid w:val="32E98907"/>
    <w:rsid w:val="33EE633B"/>
    <w:rsid w:val="35BD5997"/>
    <w:rsid w:val="3756B6F4"/>
    <w:rsid w:val="395D3ADF"/>
    <w:rsid w:val="3F24B6B6"/>
    <w:rsid w:val="452B9D24"/>
    <w:rsid w:val="4682B89D"/>
    <w:rsid w:val="4C5D4207"/>
    <w:rsid w:val="557DFD9D"/>
    <w:rsid w:val="57C80883"/>
    <w:rsid w:val="5C9C72EF"/>
    <w:rsid w:val="5D347E28"/>
    <w:rsid w:val="6846AE42"/>
    <w:rsid w:val="6857E000"/>
    <w:rsid w:val="690C3ED5"/>
    <w:rsid w:val="6B902611"/>
    <w:rsid w:val="6C215E11"/>
    <w:rsid w:val="6DCEA7F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658FE6"/>
  <w15:docId w15:val="{6F77159A-CF10-4546-9EAB-F74FD2A4D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GB" w:eastAsia="en-US" w:bidi="ar-SA"/>
      </w:rPr>
    </w:rPrDefault>
    <w:pPrDefault/>
  </w:docDefaults>
  <w:latentStyles w:defLockedState="0" w:defUIPriority="99" w:defSemiHidden="0" w:defUnhideWhenUsed="0" w:defQFormat="0" w:count="376">
    <w:lsdException w:name="Normal" w:uiPriority="1"/>
    <w:lsdException w:name="heading 1" w:uiPriority="9" w:qFormat="1"/>
    <w:lsdException w:name="heading 2" w:semiHidden="1" w:uiPriority="9" w:qFormat="1"/>
    <w:lsdException w:name="heading 3" w:semiHidden="1" w:uiPriority="9" w:qFormat="1"/>
    <w:lsdException w:name="heading 4" w:semiHidden="1" w:uiPriority="6"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qFormat="1"/>
    <w:lsdException w:name="List Number" w:semiHidden="1" w:uiPriority="1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0"/>
    <w:lsdException w:name="List Bullet 3" w:semiHidden="1" w:uiPriority="11"/>
    <w:lsdException w:name="List Bullet 4" w:semiHidden="1" w:unhideWhenUsed="1"/>
    <w:lsdException w:name="List Bullet 5" w:semiHidden="1" w:unhideWhenUsed="1"/>
    <w:lsdException w:name="List Number 2" w:semiHidden="1" w:uiPriority="13" w:qFormat="1"/>
    <w:lsdException w:name="List Number 3" w:semiHidden="1" w:uiPriority="14" w:qFormat="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qFormat="1"/>
    <w:lsdException w:name="FollowedHyperlink" w:semiHidden="1" w:uiPriority="28" w:qFormat="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2"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unhideWhenUsed="1"/>
    <w:lsdException w:name="Intense Reference" w:uiPriority="32" w:unhideWhenUsed="1"/>
    <w:lsdException w:name="Book Title" w:uiPriority="33" w:unhideWhenUsed="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6927A9"/>
    <w:rPr>
      <w:rFonts w:ascii="Times New Roman" w:eastAsia="Times New Roman" w:hAnsi="Times New Roman" w:cs="Times New Roman"/>
      <w:sz w:val="24"/>
      <w:szCs w:val="24"/>
      <w:lang w:val="en-IE" w:eastAsia="en-IE"/>
    </w:rPr>
  </w:style>
  <w:style w:type="paragraph" w:styleId="Heading1">
    <w:name w:val="heading 1"/>
    <w:basedOn w:val="Heading2"/>
    <w:next w:val="BodyText"/>
    <w:link w:val="Heading1Char"/>
    <w:uiPriority w:val="9"/>
    <w:qFormat/>
    <w:rsid w:val="00B476EE"/>
    <w:pPr>
      <w:numPr>
        <w:ilvl w:val="0"/>
        <w:numId w:val="28"/>
      </w:numPr>
      <w:outlineLvl w:val="0"/>
    </w:pPr>
    <w:rPr>
      <w:sz w:val="32"/>
      <w:szCs w:val="32"/>
    </w:rPr>
  </w:style>
  <w:style w:type="paragraph" w:styleId="Heading2">
    <w:name w:val="heading 2"/>
    <w:basedOn w:val="Normal"/>
    <w:next w:val="BodyText"/>
    <w:link w:val="Heading2Char"/>
    <w:uiPriority w:val="9"/>
    <w:qFormat/>
    <w:rsid w:val="003E5953"/>
    <w:pPr>
      <w:keepNext/>
      <w:keepLines/>
      <w:numPr>
        <w:ilvl w:val="1"/>
        <w:numId w:val="30"/>
      </w:numPr>
      <w:spacing w:before="240" w:after="120"/>
      <w:outlineLvl w:val="1"/>
    </w:pPr>
    <w:rPr>
      <w:rFonts w:ascii="Calibri" w:eastAsiaTheme="majorEastAsia" w:hAnsi="Calibri" w:cs="Calibri"/>
      <w:b/>
      <w:bCs/>
      <w:color w:val="0070C0"/>
      <w:szCs w:val="26"/>
    </w:rPr>
  </w:style>
  <w:style w:type="paragraph" w:styleId="Heading3">
    <w:name w:val="heading 3"/>
    <w:basedOn w:val="Normal"/>
    <w:next w:val="BodyText"/>
    <w:link w:val="Heading3Char"/>
    <w:uiPriority w:val="9"/>
    <w:qFormat/>
    <w:rsid w:val="00F71ABE"/>
    <w:pPr>
      <w:keepNext/>
      <w:keepLines/>
      <w:numPr>
        <w:ilvl w:val="2"/>
        <w:numId w:val="13"/>
      </w:numPr>
      <w:spacing w:before="240" w:after="120"/>
      <w:ind w:left="851" w:right="403" w:hanging="851"/>
      <w:outlineLvl w:val="2"/>
    </w:pPr>
    <w:rPr>
      <w:rFonts w:asciiTheme="majorHAnsi" w:eastAsiaTheme="majorEastAsia" w:hAnsiTheme="majorHAnsi" w:cstheme="majorBidi"/>
      <w:b/>
      <w:bCs/>
      <w:color w:val="000000" w:themeColor="text1"/>
    </w:rPr>
  </w:style>
  <w:style w:type="paragraph" w:styleId="Heading4">
    <w:name w:val="heading 4"/>
    <w:basedOn w:val="Normal"/>
    <w:next w:val="BodyText"/>
    <w:link w:val="Heading4Char"/>
    <w:uiPriority w:val="6"/>
    <w:qFormat/>
    <w:rsid w:val="00CD3D1B"/>
    <w:pPr>
      <w:keepNext/>
      <w:keepLines/>
      <w:numPr>
        <w:ilvl w:val="3"/>
        <w:numId w:val="13"/>
      </w:numPr>
      <w:spacing w:before="120"/>
      <w:outlineLvl w:val="3"/>
    </w:pPr>
    <w:rPr>
      <w:rFonts w:asciiTheme="majorHAnsi" w:eastAsiaTheme="majorEastAsia" w:hAnsiTheme="majorHAnsi" w:cstheme="majorBidi"/>
      <w:bCs/>
      <w:iCs/>
      <w:color w:val="008768" w:themeColor="accent1"/>
    </w:rPr>
  </w:style>
  <w:style w:type="paragraph" w:styleId="Heading5">
    <w:name w:val="heading 5"/>
    <w:basedOn w:val="Normal"/>
    <w:next w:val="BodyText"/>
    <w:link w:val="Heading5Char"/>
    <w:uiPriority w:val="9"/>
    <w:semiHidden/>
    <w:unhideWhenUsed/>
    <w:rsid w:val="002770A0"/>
    <w:pPr>
      <w:keepNext/>
      <w:keepLines/>
      <w:numPr>
        <w:ilvl w:val="4"/>
        <w:numId w:val="13"/>
      </w:numPr>
      <w:spacing w:before="120"/>
      <w:outlineLvl w:val="4"/>
    </w:pPr>
    <w:rPr>
      <w:rFonts w:asciiTheme="majorHAnsi" w:eastAsiaTheme="majorEastAsia" w:hAnsiTheme="majorHAnsi" w:cstheme="majorBidi"/>
      <w:b/>
      <w:color w:val="008768" w:themeColor="accent1"/>
    </w:rPr>
  </w:style>
  <w:style w:type="paragraph" w:styleId="Heading6">
    <w:name w:val="heading 6"/>
    <w:basedOn w:val="Normal"/>
    <w:next w:val="Normal"/>
    <w:link w:val="Heading6Char"/>
    <w:uiPriority w:val="9"/>
    <w:semiHidden/>
    <w:unhideWhenUsed/>
    <w:rsid w:val="00582989"/>
    <w:pPr>
      <w:keepNext/>
      <w:keepLines/>
      <w:numPr>
        <w:ilvl w:val="5"/>
        <w:numId w:val="13"/>
      </w:numPr>
      <w:spacing w:before="200"/>
      <w:outlineLvl w:val="5"/>
    </w:pPr>
    <w:rPr>
      <w:rFonts w:asciiTheme="majorHAnsi" w:eastAsiaTheme="majorEastAsia" w:hAnsiTheme="majorHAnsi" w:cstheme="majorBidi"/>
      <w:i/>
      <w:iCs/>
      <w:color w:val="004333" w:themeColor="accent1" w:themeShade="7F"/>
    </w:rPr>
  </w:style>
  <w:style w:type="paragraph" w:styleId="Heading7">
    <w:name w:val="heading 7"/>
    <w:basedOn w:val="Normal"/>
    <w:next w:val="Normal"/>
    <w:link w:val="Heading7Char"/>
    <w:uiPriority w:val="9"/>
    <w:semiHidden/>
    <w:unhideWhenUsed/>
    <w:rsid w:val="00582989"/>
    <w:pPr>
      <w:keepNext/>
      <w:keepLines/>
      <w:numPr>
        <w:ilvl w:val="6"/>
        <w:numId w:val="13"/>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rsid w:val="00582989"/>
    <w:pPr>
      <w:keepNext/>
      <w:keepLines/>
      <w:numPr>
        <w:ilvl w:val="7"/>
        <w:numId w:val="13"/>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rsid w:val="00582989"/>
    <w:pPr>
      <w:keepNext/>
      <w:keepLines/>
      <w:numPr>
        <w:ilvl w:val="8"/>
        <w:numId w:val="13"/>
      </w:numPr>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76EE"/>
    <w:rPr>
      <w:rFonts w:ascii="Calibri" w:eastAsiaTheme="majorEastAsia" w:hAnsi="Calibri" w:cs="Calibri"/>
      <w:b/>
      <w:bCs/>
      <w:color w:val="0070C0"/>
      <w:sz w:val="32"/>
      <w:szCs w:val="32"/>
      <w:lang w:val="en-IE" w:eastAsia="en-IE"/>
    </w:rPr>
  </w:style>
  <w:style w:type="character" w:customStyle="1" w:styleId="Heading2Char">
    <w:name w:val="Heading 2 Char"/>
    <w:basedOn w:val="DefaultParagraphFont"/>
    <w:link w:val="Heading2"/>
    <w:uiPriority w:val="9"/>
    <w:rsid w:val="003E5953"/>
    <w:rPr>
      <w:rFonts w:ascii="Calibri" w:eastAsiaTheme="majorEastAsia" w:hAnsi="Calibri" w:cs="Calibri"/>
      <w:b/>
      <w:bCs/>
      <w:color w:val="0070C0"/>
      <w:sz w:val="24"/>
      <w:szCs w:val="26"/>
      <w:lang w:val="en-IE" w:eastAsia="en-IE"/>
    </w:rPr>
  </w:style>
  <w:style w:type="character" w:customStyle="1" w:styleId="Heading3Char">
    <w:name w:val="Heading 3 Char"/>
    <w:basedOn w:val="DefaultParagraphFont"/>
    <w:link w:val="Heading3"/>
    <w:uiPriority w:val="9"/>
    <w:rsid w:val="00F71ABE"/>
    <w:rPr>
      <w:rFonts w:asciiTheme="majorHAnsi" w:eastAsiaTheme="majorEastAsia" w:hAnsiTheme="majorHAnsi" w:cstheme="majorBidi"/>
      <w:b/>
      <w:bCs/>
      <w:color w:val="000000" w:themeColor="text1"/>
      <w:sz w:val="24"/>
      <w:szCs w:val="24"/>
      <w:lang w:val="en-IE" w:eastAsia="en-IE"/>
    </w:rPr>
  </w:style>
  <w:style w:type="paragraph" w:styleId="ListNumber">
    <w:name w:val="List Number"/>
    <w:basedOn w:val="Normal"/>
    <w:uiPriority w:val="12"/>
    <w:qFormat/>
    <w:rsid w:val="00790710"/>
    <w:pPr>
      <w:numPr>
        <w:numId w:val="19"/>
      </w:numPr>
      <w:spacing w:after="120"/>
    </w:pPr>
  </w:style>
  <w:style w:type="paragraph" w:styleId="ListNumber2">
    <w:name w:val="List Number 2"/>
    <w:basedOn w:val="Normal"/>
    <w:uiPriority w:val="13"/>
    <w:qFormat/>
    <w:rsid w:val="00790710"/>
    <w:pPr>
      <w:numPr>
        <w:ilvl w:val="1"/>
        <w:numId w:val="19"/>
      </w:numPr>
      <w:spacing w:after="120"/>
    </w:pPr>
  </w:style>
  <w:style w:type="paragraph" w:styleId="ListNumber3">
    <w:name w:val="List Number 3"/>
    <w:basedOn w:val="Normal"/>
    <w:uiPriority w:val="14"/>
    <w:qFormat/>
    <w:rsid w:val="00790710"/>
    <w:pPr>
      <w:numPr>
        <w:ilvl w:val="2"/>
        <w:numId w:val="19"/>
      </w:numPr>
      <w:spacing w:after="120"/>
    </w:pPr>
  </w:style>
  <w:style w:type="paragraph" w:styleId="ListBullet">
    <w:name w:val="List Bullet"/>
    <w:basedOn w:val="Normal"/>
    <w:uiPriority w:val="9"/>
    <w:qFormat/>
    <w:rsid w:val="00066531"/>
    <w:pPr>
      <w:numPr>
        <w:numId w:val="18"/>
      </w:numPr>
      <w:tabs>
        <w:tab w:val="clear" w:pos="425"/>
        <w:tab w:val="num" w:pos="851"/>
      </w:tabs>
      <w:spacing w:after="60"/>
      <w:ind w:left="851" w:hanging="284"/>
    </w:pPr>
    <w:rPr>
      <w:rFonts w:asciiTheme="minorHAnsi" w:hAnsiTheme="minorHAnsi" w:cstheme="minorHAnsi"/>
      <w:sz w:val="21"/>
      <w:szCs w:val="21"/>
    </w:rPr>
  </w:style>
  <w:style w:type="paragraph" w:styleId="ListBullet2">
    <w:name w:val="List Bullet 2"/>
    <w:basedOn w:val="Normal"/>
    <w:uiPriority w:val="10"/>
    <w:rsid w:val="00790710"/>
    <w:pPr>
      <w:numPr>
        <w:ilvl w:val="1"/>
        <w:numId w:val="18"/>
      </w:numPr>
      <w:spacing w:after="120"/>
    </w:pPr>
  </w:style>
  <w:style w:type="paragraph" w:styleId="ListBullet3">
    <w:name w:val="List Bullet 3"/>
    <w:basedOn w:val="Normal"/>
    <w:uiPriority w:val="11"/>
    <w:rsid w:val="00790710"/>
    <w:pPr>
      <w:numPr>
        <w:ilvl w:val="2"/>
        <w:numId w:val="18"/>
      </w:numPr>
      <w:spacing w:after="120"/>
    </w:pPr>
  </w:style>
  <w:style w:type="character" w:customStyle="1" w:styleId="Heading4Char">
    <w:name w:val="Heading 4 Char"/>
    <w:basedOn w:val="DefaultParagraphFont"/>
    <w:link w:val="Heading4"/>
    <w:uiPriority w:val="6"/>
    <w:rsid w:val="00CD3D1B"/>
    <w:rPr>
      <w:rFonts w:asciiTheme="majorHAnsi" w:eastAsiaTheme="majorEastAsia" w:hAnsiTheme="majorHAnsi" w:cstheme="majorBidi"/>
      <w:bCs/>
      <w:iCs/>
      <w:color w:val="008768" w:themeColor="accent1"/>
      <w:sz w:val="24"/>
      <w:szCs w:val="24"/>
      <w:lang w:val="en-IE" w:eastAsia="en-IE"/>
    </w:rPr>
  </w:style>
  <w:style w:type="numbering" w:customStyle="1" w:styleId="AECOMBullets">
    <w:name w:val="AECOM_Bullets"/>
    <w:basedOn w:val="NoList"/>
    <w:uiPriority w:val="99"/>
    <w:semiHidden/>
    <w:unhideWhenUsed/>
    <w:rsid w:val="00C86409"/>
    <w:pPr>
      <w:numPr>
        <w:numId w:val="5"/>
      </w:numPr>
    </w:pPr>
  </w:style>
  <w:style w:type="character" w:customStyle="1" w:styleId="Heading5Char">
    <w:name w:val="Heading 5 Char"/>
    <w:basedOn w:val="DefaultParagraphFont"/>
    <w:link w:val="Heading5"/>
    <w:uiPriority w:val="9"/>
    <w:semiHidden/>
    <w:rsid w:val="00F66A91"/>
    <w:rPr>
      <w:rFonts w:asciiTheme="majorHAnsi" w:eastAsiaTheme="majorEastAsia" w:hAnsiTheme="majorHAnsi" w:cstheme="majorBidi"/>
      <w:b/>
      <w:color w:val="008768" w:themeColor="accent1"/>
      <w:sz w:val="24"/>
      <w:szCs w:val="24"/>
      <w:lang w:val="en-IE" w:eastAsia="en-IE"/>
    </w:rPr>
  </w:style>
  <w:style w:type="paragraph" w:styleId="BodyText">
    <w:name w:val="Body Text"/>
    <w:basedOn w:val="Normal"/>
    <w:link w:val="BodyTextChar"/>
    <w:qFormat/>
    <w:rsid w:val="00193839"/>
    <w:pPr>
      <w:spacing w:after="180" w:line="240" w:lineRule="atLeast"/>
      <w:jc w:val="both"/>
    </w:pPr>
    <w:rPr>
      <w:rFonts w:ascii="Calibri" w:eastAsiaTheme="minorHAnsi" w:hAnsi="Calibri" w:cstheme="minorBidi"/>
      <w:kern w:val="18"/>
      <w:sz w:val="21"/>
      <w:szCs w:val="21"/>
      <w:lang w:val="en-GB" w:eastAsia="en-US"/>
    </w:rPr>
  </w:style>
  <w:style w:type="numbering" w:customStyle="1" w:styleId="AECOMList">
    <w:name w:val="AECOM_List"/>
    <w:basedOn w:val="NoList"/>
    <w:uiPriority w:val="99"/>
    <w:semiHidden/>
    <w:unhideWhenUsed/>
    <w:rsid w:val="00323654"/>
    <w:pPr>
      <w:numPr>
        <w:numId w:val="6"/>
      </w:numPr>
    </w:pPr>
  </w:style>
  <w:style w:type="character" w:customStyle="1" w:styleId="BodyTextChar">
    <w:name w:val="Body Text Char"/>
    <w:basedOn w:val="DefaultParagraphFont"/>
    <w:link w:val="BodyText"/>
    <w:rsid w:val="00193839"/>
    <w:rPr>
      <w:rFonts w:ascii="Calibri" w:hAnsi="Calibri"/>
      <w:kern w:val="18"/>
      <w:sz w:val="21"/>
      <w:szCs w:val="21"/>
    </w:rPr>
  </w:style>
  <w:style w:type="paragraph" w:customStyle="1" w:styleId="CoverTitle">
    <w:name w:val="Cover Title"/>
    <w:basedOn w:val="Normal"/>
    <w:next w:val="BodyText"/>
    <w:semiHidden/>
    <w:unhideWhenUsed/>
    <w:rsid w:val="00DD3356"/>
    <w:pPr>
      <w:spacing w:before="360" w:after="360" w:line="900" w:lineRule="atLeast"/>
    </w:pPr>
    <w:rPr>
      <w:rFonts w:asciiTheme="majorHAnsi" w:hAnsiTheme="majorHAnsi"/>
      <w:b/>
      <w:color w:val="008768" w:themeColor="accent1"/>
      <w:sz w:val="80"/>
    </w:rPr>
  </w:style>
  <w:style w:type="paragraph" w:customStyle="1" w:styleId="SectionTitle">
    <w:name w:val="Section Title"/>
    <w:basedOn w:val="BodyText"/>
    <w:next w:val="BodyText"/>
    <w:semiHidden/>
    <w:unhideWhenUsed/>
    <w:rsid w:val="00D129FA"/>
    <w:pPr>
      <w:spacing w:before="360" w:after="360" w:line="660" w:lineRule="atLeast"/>
      <w:jc w:val="right"/>
    </w:pPr>
    <w:rPr>
      <w:rFonts w:asciiTheme="majorHAnsi" w:hAnsiTheme="majorHAnsi"/>
      <w:color w:val="FFFFFF" w:themeColor="background1"/>
      <w:sz w:val="60"/>
    </w:rPr>
  </w:style>
  <w:style w:type="paragraph" w:customStyle="1" w:styleId="DividerSectionNumber">
    <w:name w:val="Divider Section Number"/>
    <w:basedOn w:val="BodyText"/>
    <w:next w:val="BodyText"/>
    <w:semiHidden/>
    <w:unhideWhenUsed/>
    <w:rsid w:val="00B55307"/>
    <w:pPr>
      <w:spacing w:before="360" w:after="360" w:line="2400" w:lineRule="atLeast"/>
      <w:jc w:val="right"/>
    </w:pPr>
    <w:rPr>
      <w:rFonts w:asciiTheme="majorHAnsi" w:hAnsiTheme="majorHAnsi"/>
      <w:color w:val="FFFFFF" w:themeColor="background1"/>
      <w:sz w:val="200"/>
    </w:rPr>
  </w:style>
  <w:style w:type="paragraph" w:customStyle="1" w:styleId="DividerSectionNumberSmall">
    <w:name w:val="Divider Section Number (Small)"/>
    <w:basedOn w:val="Normal"/>
    <w:next w:val="BodyText"/>
    <w:semiHidden/>
    <w:unhideWhenUsed/>
    <w:rsid w:val="00DD3356"/>
    <w:pPr>
      <w:spacing w:before="360" w:after="360" w:line="1440" w:lineRule="atLeast"/>
      <w:jc w:val="right"/>
    </w:pPr>
    <w:rPr>
      <w:rFonts w:asciiTheme="majorHAnsi" w:hAnsiTheme="majorHAnsi"/>
      <w:b/>
      <w:color w:val="008768" w:themeColor="accent1"/>
      <w:sz w:val="120"/>
    </w:rPr>
  </w:style>
  <w:style w:type="table" w:styleId="TableGrid">
    <w:name w:val="Table Grid"/>
    <w:basedOn w:val="TableNormal"/>
    <w:uiPriority w:val="39"/>
    <w:unhideWhenUsed/>
    <w:rsid w:val="00364FD7"/>
    <w:rPr>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blStylePr w:type="firstRow">
      <w:rPr>
        <w:rFonts w:asciiTheme="majorHAnsi" w:hAnsiTheme="majorHAnsi"/>
        <w:b w:val="0"/>
      </w:rPr>
    </w:tblStylePr>
  </w:style>
  <w:style w:type="table" w:customStyle="1" w:styleId="AECOMtable">
    <w:name w:val="AECOM table"/>
    <w:basedOn w:val="TableNormal"/>
    <w:uiPriority w:val="99"/>
    <w:unhideWhenUsed/>
    <w:rsid w:val="00A87D6A"/>
    <w:rPr>
      <w:sz w:val="16"/>
    </w:rPr>
    <w:tblPr>
      <w:tblBorders>
        <w:insideH w:val="single" w:sz="4" w:space="0" w:color="auto"/>
      </w:tblBorders>
      <w:tblCellMar>
        <w:top w:w="28" w:type="dxa"/>
        <w:left w:w="0" w:type="dxa"/>
        <w:bottom w:w="28" w:type="dxa"/>
        <w:right w:w="113" w:type="dxa"/>
      </w:tblCellMar>
    </w:tblPr>
    <w:tblStylePr w:type="firstRow">
      <w:rPr>
        <w:rFonts w:asciiTheme="majorHAnsi" w:hAnsiTheme="majorHAnsi"/>
        <w:b/>
        <w:color w:val="008768" w:themeColor="accent1"/>
        <w:sz w:val="16"/>
      </w:rPr>
      <w:tblPr/>
      <w:tcPr>
        <w:tcBorders>
          <w:top w:val="nil"/>
          <w:left w:val="nil"/>
          <w:bottom w:val="single" w:sz="12" w:space="0" w:color="008768" w:themeColor="accent1"/>
          <w:right w:val="nil"/>
          <w:insideH w:val="nil"/>
          <w:insideV w:val="nil"/>
          <w:tl2br w:val="nil"/>
          <w:tr2bl w:val="nil"/>
        </w:tcBorders>
      </w:tcPr>
    </w:tblStylePr>
  </w:style>
  <w:style w:type="paragraph" w:styleId="Caption">
    <w:name w:val="caption"/>
    <w:basedOn w:val="Normal"/>
    <w:next w:val="BodyText"/>
    <w:uiPriority w:val="35"/>
    <w:qFormat/>
    <w:rsid w:val="00C85B53"/>
    <w:pPr>
      <w:keepNext/>
      <w:spacing w:after="120"/>
      <w:jc w:val="center"/>
    </w:pPr>
    <w:rPr>
      <w:rFonts w:asciiTheme="majorHAnsi" w:hAnsiTheme="majorHAnsi"/>
      <w:b/>
      <w:bCs/>
      <w:sz w:val="21"/>
      <w:szCs w:val="21"/>
    </w:rPr>
  </w:style>
  <w:style w:type="paragraph" w:customStyle="1" w:styleId="Source">
    <w:name w:val="Source"/>
    <w:basedOn w:val="Normal"/>
    <w:uiPriority w:val="26"/>
    <w:rsid w:val="00F4332F"/>
    <w:pPr>
      <w:spacing w:after="120"/>
    </w:pPr>
    <w:rPr>
      <w:i/>
      <w:sz w:val="16"/>
    </w:rPr>
  </w:style>
  <w:style w:type="paragraph" w:styleId="FootnoteText">
    <w:name w:val="footnote text"/>
    <w:basedOn w:val="Normal"/>
    <w:link w:val="FootnoteTextChar"/>
    <w:uiPriority w:val="99"/>
    <w:semiHidden/>
    <w:unhideWhenUsed/>
    <w:rsid w:val="00253171"/>
    <w:rPr>
      <w:sz w:val="16"/>
      <w:szCs w:val="20"/>
    </w:rPr>
  </w:style>
  <w:style w:type="character" w:customStyle="1" w:styleId="FootnoteTextChar">
    <w:name w:val="Footnote Text Char"/>
    <w:basedOn w:val="DefaultParagraphFont"/>
    <w:link w:val="FootnoteText"/>
    <w:uiPriority w:val="99"/>
    <w:semiHidden/>
    <w:rsid w:val="00F66A91"/>
    <w:rPr>
      <w:kern w:val="18"/>
      <w:sz w:val="16"/>
      <w:szCs w:val="20"/>
    </w:rPr>
  </w:style>
  <w:style w:type="character" w:styleId="FootnoteReference">
    <w:name w:val="footnote reference"/>
    <w:basedOn w:val="DefaultParagraphFont"/>
    <w:uiPriority w:val="99"/>
    <w:semiHidden/>
    <w:unhideWhenUsed/>
    <w:rsid w:val="00F27E4A"/>
    <w:rPr>
      <w:rFonts w:asciiTheme="majorHAnsi" w:hAnsiTheme="majorHAnsi"/>
      <w:color w:val="auto"/>
      <w:vertAlign w:val="superscript"/>
    </w:rPr>
  </w:style>
  <w:style w:type="paragraph" w:customStyle="1" w:styleId="Appendix">
    <w:name w:val="Appendix"/>
    <w:basedOn w:val="Heading1"/>
    <w:next w:val="BodyText"/>
    <w:uiPriority w:val="7"/>
    <w:qFormat/>
    <w:rsid w:val="006A3705"/>
    <w:pPr>
      <w:numPr>
        <w:numId w:val="24"/>
      </w:numPr>
    </w:pPr>
  </w:style>
  <w:style w:type="character" w:styleId="Hyperlink">
    <w:name w:val="Hyperlink"/>
    <w:basedOn w:val="DefaultParagraphFont"/>
    <w:uiPriority w:val="99"/>
    <w:qFormat/>
    <w:rsid w:val="00F15F1A"/>
    <w:rPr>
      <w:color w:val="008768" w:themeColor="accent1"/>
      <w:u w:val="single"/>
    </w:rPr>
  </w:style>
  <w:style w:type="character" w:styleId="FollowedHyperlink">
    <w:name w:val="FollowedHyperlink"/>
    <w:basedOn w:val="DefaultParagraphFont"/>
    <w:uiPriority w:val="28"/>
    <w:qFormat/>
    <w:rsid w:val="00F15F1A"/>
    <w:rPr>
      <w:color w:val="00353E" w:themeColor="accent2"/>
      <w:u w:val="single"/>
    </w:rPr>
  </w:style>
  <w:style w:type="table" w:styleId="ColorfulGrid">
    <w:name w:val="Colorful Grid"/>
    <w:basedOn w:val="TableNormal"/>
    <w:uiPriority w:val="73"/>
    <w:semiHidden/>
    <w:unhideWhenUsed/>
    <w:rsid w:val="009E6ED7"/>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9E6ED7"/>
    <w:rPr>
      <w:color w:val="000000" w:themeColor="text1"/>
    </w:rPr>
    <w:tblPr>
      <w:tblStyleRowBandSize w:val="1"/>
      <w:tblStyleColBandSize w:val="1"/>
      <w:tblBorders>
        <w:insideH w:val="single" w:sz="4" w:space="0" w:color="FFFFFF" w:themeColor="background1"/>
      </w:tblBorders>
    </w:tblPr>
    <w:tcPr>
      <w:shd w:val="clear" w:color="auto" w:fill="B4FFED" w:themeFill="accent1" w:themeFillTint="33"/>
    </w:tcPr>
    <w:tblStylePr w:type="firstRow">
      <w:rPr>
        <w:b/>
        <w:bCs/>
      </w:rPr>
      <w:tblPr/>
      <w:tcPr>
        <w:shd w:val="clear" w:color="auto" w:fill="69FFDC" w:themeFill="accent1" w:themeFillTint="66"/>
      </w:tcPr>
    </w:tblStylePr>
    <w:tblStylePr w:type="lastRow">
      <w:rPr>
        <w:b/>
        <w:bCs/>
        <w:color w:val="000000" w:themeColor="text1"/>
      </w:rPr>
      <w:tblPr/>
      <w:tcPr>
        <w:shd w:val="clear" w:color="auto" w:fill="69FFDC" w:themeFill="accent1" w:themeFillTint="66"/>
      </w:tcPr>
    </w:tblStylePr>
    <w:tblStylePr w:type="firstCol">
      <w:rPr>
        <w:color w:val="FFFFFF" w:themeColor="background1"/>
      </w:rPr>
      <w:tblPr/>
      <w:tcPr>
        <w:shd w:val="clear" w:color="auto" w:fill="00654D" w:themeFill="accent1" w:themeFillShade="BF"/>
      </w:tcPr>
    </w:tblStylePr>
    <w:tblStylePr w:type="lastCol">
      <w:rPr>
        <w:color w:val="FFFFFF" w:themeColor="background1"/>
      </w:rPr>
      <w:tblPr/>
      <w:tcPr>
        <w:shd w:val="clear" w:color="auto" w:fill="00654D" w:themeFill="accent1" w:themeFillShade="BF"/>
      </w:tcPr>
    </w:tblStylePr>
    <w:tblStylePr w:type="band1Vert">
      <w:tblPr/>
      <w:tcPr>
        <w:shd w:val="clear" w:color="auto" w:fill="44FFD3" w:themeFill="accent1" w:themeFillTint="7F"/>
      </w:tcPr>
    </w:tblStylePr>
    <w:tblStylePr w:type="band1Horz">
      <w:tblPr/>
      <w:tcPr>
        <w:shd w:val="clear" w:color="auto" w:fill="44FFD3" w:themeFill="accent1" w:themeFillTint="7F"/>
      </w:tcPr>
    </w:tblStylePr>
  </w:style>
  <w:style w:type="table" w:styleId="ColorfulGrid-Accent2">
    <w:name w:val="Colorful Grid Accent 2"/>
    <w:basedOn w:val="TableNormal"/>
    <w:uiPriority w:val="73"/>
    <w:semiHidden/>
    <w:unhideWhenUsed/>
    <w:rsid w:val="009E6ED7"/>
    <w:rPr>
      <w:color w:val="000000" w:themeColor="text1"/>
    </w:rPr>
    <w:tblPr>
      <w:tblStyleRowBandSize w:val="1"/>
      <w:tblStyleColBandSize w:val="1"/>
      <w:tblBorders>
        <w:insideH w:val="single" w:sz="4" w:space="0" w:color="FFFFFF" w:themeColor="background1"/>
      </w:tblBorders>
    </w:tblPr>
    <w:tcPr>
      <w:shd w:val="clear" w:color="auto" w:fill="A5F1FF" w:themeFill="accent2" w:themeFillTint="33"/>
    </w:tcPr>
    <w:tblStylePr w:type="firstRow">
      <w:rPr>
        <w:b/>
        <w:bCs/>
      </w:rPr>
      <w:tblPr/>
      <w:tcPr>
        <w:shd w:val="clear" w:color="auto" w:fill="4BE4FF" w:themeFill="accent2" w:themeFillTint="66"/>
      </w:tcPr>
    </w:tblStylePr>
    <w:tblStylePr w:type="lastRow">
      <w:rPr>
        <w:b/>
        <w:bCs/>
        <w:color w:val="000000" w:themeColor="text1"/>
      </w:rPr>
      <w:tblPr/>
      <w:tcPr>
        <w:shd w:val="clear" w:color="auto" w:fill="4BE4FF" w:themeFill="accent2" w:themeFillTint="66"/>
      </w:tcPr>
    </w:tblStylePr>
    <w:tblStylePr w:type="firstCol">
      <w:rPr>
        <w:color w:val="FFFFFF" w:themeColor="background1"/>
      </w:rPr>
      <w:tblPr/>
      <w:tcPr>
        <w:shd w:val="clear" w:color="auto" w:fill="00272E" w:themeFill="accent2" w:themeFillShade="BF"/>
      </w:tcPr>
    </w:tblStylePr>
    <w:tblStylePr w:type="lastCol">
      <w:rPr>
        <w:color w:val="FFFFFF" w:themeColor="background1"/>
      </w:rPr>
      <w:tblPr/>
      <w:tcPr>
        <w:shd w:val="clear" w:color="auto" w:fill="00272E" w:themeFill="accent2" w:themeFillShade="BF"/>
      </w:tcPr>
    </w:tblStylePr>
    <w:tblStylePr w:type="band1Vert">
      <w:tblPr/>
      <w:tcPr>
        <w:shd w:val="clear" w:color="auto" w:fill="1FDDFF" w:themeFill="accent2" w:themeFillTint="7F"/>
      </w:tcPr>
    </w:tblStylePr>
    <w:tblStylePr w:type="band1Horz">
      <w:tblPr/>
      <w:tcPr>
        <w:shd w:val="clear" w:color="auto" w:fill="1FDDFF" w:themeFill="accent2" w:themeFillTint="7F"/>
      </w:tcPr>
    </w:tblStylePr>
  </w:style>
  <w:style w:type="table" w:styleId="ColorfulGrid-Accent3">
    <w:name w:val="Colorful Grid Accent 3"/>
    <w:basedOn w:val="TableNormal"/>
    <w:uiPriority w:val="73"/>
    <w:semiHidden/>
    <w:unhideWhenUsed/>
    <w:rsid w:val="009E6ED7"/>
    <w:rPr>
      <w:color w:val="000000" w:themeColor="text1"/>
    </w:rPr>
    <w:tblPr>
      <w:tblStyleRowBandSize w:val="1"/>
      <w:tblStyleColBandSize w:val="1"/>
      <w:tblBorders>
        <w:insideH w:val="single" w:sz="4" w:space="0" w:color="FFFFFF" w:themeColor="background1"/>
      </w:tblBorders>
    </w:tblPr>
    <w:tcPr>
      <w:shd w:val="clear" w:color="auto" w:fill="EEF4DC" w:themeFill="accent3" w:themeFillTint="33"/>
    </w:tcPr>
    <w:tblStylePr w:type="firstRow">
      <w:rPr>
        <w:b/>
        <w:bCs/>
      </w:rPr>
      <w:tblPr/>
      <w:tcPr>
        <w:shd w:val="clear" w:color="auto" w:fill="DEEABA" w:themeFill="accent3" w:themeFillTint="66"/>
      </w:tcPr>
    </w:tblStylePr>
    <w:tblStylePr w:type="lastRow">
      <w:rPr>
        <w:b/>
        <w:bCs/>
        <w:color w:val="000000" w:themeColor="text1"/>
      </w:rPr>
      <w:tblPr/>
      <w:tcPr>
        <w:shd w:val="clear" w:color="auto" w:fill="DEEABA" w:themeFill="accent3" w:themeFillTint="66"/>
      </w:tcPr>
    </w:tblStylePr>
    <w:tblStylePr w:type="firstCol">
      <w:rPr>
        <w:color w:val="FFFFFF" w:themeColor="background1"/>
      </w:rPr>
      <w:tblPr/>
      <w:tcPr>
        <w:shd w:val="clear" w:color="auto" w:fill="88A531" w:themeFill="accent3" w:themeFillShade="BF"/>
      </w:tcPr>
    </w:tblStylePr>
    <w:tblStylePr w:type="lastCol">
      <w:rPr>
        <w:color w:val="FFFFFF" w:themeColor="background1"/>
      </w:rPr>
      <w:tblPr/>
      <w:tcPr>
        <w:shd w:val="clear" w:color="auto" w:fill="88A531" w:themeFill="accent3" w:themeFillShade="BF"/>
      </w:tcPr>
    </w:tblStylePr>
    <w:tblStylePr w:type="band1Vert">
      <w:tblPr/>
      <w:tcPr>
        <w:shd w:val="clear" w:color="auto" w:fill="D6E5A9" w:themeFill="accent3" w:themeFillTint="7F"/>
      </w:tcPr>
    </w:tblStylePr>
    <w:tblStylePr w:type="band1Horz">
      <w:tblPr/>
      <w:tcPr>
        <w:shd w:val="clear" w:color="auto" w:fill="D6E5A9" w:themeFill="accent3" w:themeFillTint="7F"/>
      </w:tcPr>
    </w:tblStylePr>
  </w:style>
  <w:style w:type="table" w:styleId="ColorfulGrid-Accent4">
    <w:name w:val="Colorful Grid Accent 4"/>
    <w:basedOn w:val="TableNormal"/>
    <w:uiPriority w:val="73"/>
    <w:semiHidden/>
    <w:unhideWhenUsed/>
    <w:rsid w:val="009E6ED7"/>
    <w:rPr>
      <w:color w:val="000000" w:themeColor="text1"/>
    </w:rPr>
    <w:tblPr>
      <w:tblStyleRowBandSize w:val="1"/>
      <w:tblStyleColBandSize w:val="1"/>
      <w:tblBorders>
        <w:insideH w:val="single" w:sz="4" w:space="0" w:color="FFFFFF" w:themeColor="background1"/>
      </w:tblBorders>
    </w:tblPr>
    <w:tcPr>
      <w:shd w:val="clear" w:color="auto" w:fill="FBD2CE" w:themeFill="accent4" w:themeFillTint="33"/>
    </w:tcPr>
    <w:tblStylePr w:type="firstRow">
      <w:rPr>
        <w:b/>
        <w:bCs/>
      </w:rPr>
      <w:tblPr/>
      <w:tcPr>
        <w:shd w:val="clear" w:color="auto" w:fill="F7A69E" w:themeFill="accent4" w:themeFillTint="66"/>
      </w:tcPr>
    </w:tblStylePr>
    <w:tblStylePr w:type="lastRow">
      <w:rPr>
        <w:b/>
        <w:bCs/>
        <w:color w:val="000000" w:themeColor="text1"/>
      </w:rPr>
      <w:tblPr/>
      <w:tcPr>
        <w:shd w:val="clear" w:color="auto" w:fill="F7A69E" w:themeFill="accent4" w:themeFillTint="66"/>
      </w:tcPr>
    </w:tblStylePr>
    <w:tblStylePr w:type="firstCol">
      <w:rPr>
        <w:color w:val="FFFFFF" w:themeColor="background1"/>
      </w:rPr>
      <w:tblPr/>
      <w:tcPr>
        <w:shd w:val="clear" w:color="auto" w:fill="AB1D0E" w:themeFill="accent4" w:themeFillShade="BF"/>
      </w:tcPr>
    </w:tblStylePr>
    <w:tblStylePr w:type="lastCol">
      <w:rPr>
        <w:color w:val="FFFFFF" w:themeColor="background1"/>
      </w:rPr>
      <w:tblPr/>
      <w:tcPr>
        <w:shd w:val="clear" w:color="auto" w:fill="AB1D0E" w:themeFill="accent4" w:themeFillShade="BF"/>
      </w:tcPr>
    </w:tblStylePr>
    <w:tblStylePr w:type="band1Vert">
      <w:tblPr/>
      <w:tcPr>
        <w:shd w:val="clear" w:color="auto" w:fill="F59086" w:themeFill="accent4" w:themeFillTint="7F"/>
      </w:tcPr>
    </w:tblStylePr>
    <w:tblStylePr w:type="band1Horz">
      <w:tblPr/>
      <w:tcPr>
        <w:shd w:val="clear" w:color="auto" w:fill="F59086" w:themeFill="accent4" w:themeFillTint="7F"/>
      </w:tcPr>
    </w:tblStylePr>
  </w:style>
  <w:style w:type="table" w:styleId="ColorfulGrid-Accent5">
    <w:name w:val="Colorful Grid Accent 5"/>
    <w:basedOn w:val="TableNormal"/>
    <w:uiPriority w:val="73"/>
    <w:semiHidden/>
    <w:unhideWhenUsed/>
    <w:rsid w:val="009E6ED7"/>
    <w:rPr>
      <w:color w:val="000000" w:themeColor="text1"/>
    </w:rPr>
    <w:tblPr>
      <w:tblStyleRowBandSize w:val="1"/>
      <w:tblStyleColBandSize w:val="1"/>
      <w:tblBorders>
        <w:insideH w:val="single" w:sz="4" w:space="0" w:color="FFFFFF" w:themeColor="background1"/>
      </w:tblBorders>
    </w:tblPr>
    <w:tcPr>
      <w:shd w:val="clear" w:color="auto" w:fill="B8FEFF" w:themeFill="accent5" w:themeFillTint="33"/>
    </w:tcPr>
    <w:tblStylePr w:type="firstRow">
      <w:rPr>
        <w:b/>
        <w:bCs/>
      </w:rPr>
      <w:tblPr/>
      <w:tcPr>
        <w:shd w:val="clear" w:color="auto" w:fill="71FDFF" w:themeFill="accent5" w:themeFillTint="66"/>
      </w:tcPr>
    </w:tblStylePr>
    <w:tblStylePr w:type="lastRow">
      <w:rPr>
        <w:b/>
        <w:bCs/>
        <w:color w:val="000000" w:themeColor="text1"/>
      </w:rPr>
      <w:tblPr/>
      <w:tcPr>
        <w:shd w:val="clear" w:color="auto" w:fill="71FDFF" w:themeFill="accent5" w:themeFillTint="66"/>
      </w:tcPr>
    </w:tblStylePr>
    <w:tblStylePr w:type="firstCol">
      <w:rPr>
        <w:color w:val="FFFFFF" w:themeColor="background1"/>
      </w:rPr>
      <w:tblPr/>
      <w:tcPr>
        <w:shd w:val="clear" w:color="auto" w:fill="007374" w:themeFill="accent5" w:themeFillShade="BF"/>
      </w:tcPr>
    </w:tblStylePr>
    <w:tblStylePr w:type="lastCol">
      <w:rPr>
        <w:color w:val="FFFFFF" w:themeColor="background1"/>
      </w:rPr>
      <w:tblPr/>
      <w:tcPr>
        <w:shd w:val="clear" w:color="auto" w:fill="007374" w:themeFill="accent5" w:themeFillShade="BF"/>
      </w:tcPr>
    </w:tblStylePr>
    <w:tblStylePr w:type="band1Vert">
      <w:tblPr/>
      <w:tcPr>
        <w:shd w:val="clear" w:color="auto" w:fill="4EFDFF" w:themeFill="accent5" w:themeFillTint="7F"/>
      </w:tcPr>
    </w:tblStylePr>
    <w:tblStylePr w:type="band1Horz">
      <w:tblPr/>
      <w:tcPr>
        <w:shd w:val="clear" w:color="auto" w:fill="4EFDFF" w:themeFill="accent5" w:themeFillTint="7F"/>
      </w:tcPr>
    </w:tblStylePr>
  </w:style>
  <w:style w:type="table" w:styleId="ColorfulGrid-Accent6">
    <w:name w:val="Colorful Grid Accent 6"/>
    <w:basedOn w:val="TableNormal"/>
    <w:uiPriority w:val="73"/>
    <w:semiHidden/>
    <w:unhideWhenUsed/>
    <w:rsid w:val="009E6ED7"/>
    <w:rPr>
      <w:color w:val="000000" w:themeColor="text1"/>
    </w:rPr>
    <w:tblPr>
      <w:tblStyleRowBandSize w:val="1"/>
      <w:tblStyleColBandSize w:val="1"/>
      <w:tblBorders>
        <w:insideH w:val="single" w:sz="4" w:space="0" w:color="FFFFFF" w:themeColor="background1"/>
      </w:tblBorders>
    </w:tblPr>
    <w:tcPr>
      <w:shd w:val="clear" w:color="auto" w:fill="FFF5CC" w:themeFill="accent6" w:themeFillTint="33"/>
    </w:tcPr>
    <w:tblStylePr w:type="firstRow">
      <w:rPr>
        <w:b/>
        <w:bCs/>
      </w:rPr>
      <w:tblPr/>
      <w:tcPr>
        <w:shd w:val="clear" w:color="auto" w:fill="FFEB99" w:themeFill="accent6" w:themeFillTint="66"/>
      </w:tcPr>
    </w:tblStylePr>
    <w:tblStylePr w:type="lastRow">
      <w:rPr>
        <w:b/>
        <w:bCs/>
        <w:color w:val="000000" w:themeColor="text1"/>
      </w:rPr>
      <w:tblPr/>
      <w:tcPr>
        <w:shd w:val="clear" w:color="auto" w:fill="FFEB99" w:themeFill="accent6" w:themeFillTint="66"/>
      </w:tcPr>
    </w:tblStylePr>
    <w:tblStylePr w:type="firstCol">
      <w:rPr>
        <w:color w:val="FFFFFF" w:themeColor="background1"/>
      </w:rPr>
      <w:tblPr/>
      <w:tcPr>
        <w:shd w:val="clear" w:color="auto" w:fill="BF9A00" w:themeFill="accent6" w:themeFillShade="BF"/>
      </w:tcPr>
    </w:tblStylePr>
    <w:tblStylePr w:type="lastCol">
      <w:rPr>
        <w:color w:val="FFFFFF" w:themeColor="background1"/>
      </w:rPr>
      <w:tblPr/>
      <w:tcPr>
        <w:shd w:val="clear" w:color="auto" w:fill="BF9A00" w:themeFill="accent6" w:themeFillShade="BF"/>
      </w:tcPr>
    </w:tblStylePr>
    <w:tblStylePr w:type="band1Vert">
      <w:tblPr/>
      <w:tcPr>
        <w:shd w:val="clear" w:color="auto" w:fill="FFE680" w:themeFill="accent6" w:themeFillTint="7F"/>
      </w:tcPr>
    </w:tblStylePr>
    <w:tblStylePr w:type="band1Horz">
      <w:tblPr/>
      <w:tcPr>
        <w:shd w:val="clear" w:color="auto" w:fill="FFE680" w:themeFill="accent6" w:themeFillTint="7F"/>
      </w:tcPr>
    </w:tblStylePr>
  </w:style>
  <w:style w:type="table" w:styleId="ColorfulList">
    <w:name w:val="Colorful List"/>
    <w:basedOn w:val="TableNormal"/>
    <w:uiPriority w:val="72"/>
    <w:semiHidden/>
    <w:unhideWhenUsed/>
    <w:rsid w:val="009E6ED7"/>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2931" w:themeFill="accent2" w:themeFillShade="CC"/>
      </w:tcPr>
    </w:tblStylePr>
    <w:tblStylePr w:type="lastRow">
      <w:rPr>
        <w:b/>
        <w:bCs/>
        <w:color w:val="00293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9E6ED7"/>
    <w:rPr>
      <w:color w:val="000000" w:themeColor="text1"/>
    </w:rPr>
    <w:tblPr>
      <w:tblStyleRowBandSize w:val="1"/>
      <w:tblStyleColBandSize w:val="1"/>
    </w:tblPr>
    <w:tcPr>
      <w:shd w:val="clear" w:color="auto" w:fill="DAFFF6" w:themeFill="accent1" w:themeFillTint="19"/>
    </w:tcPr>
    <w:tblStylePr w:type="firstRow">
      <w:rPr>
        <w:b/>
        <w:bCs/>
        <w:color w:val="FFFFFF" w:themeColor="background1"/>
      </w:rPr>
      <w:tblPr/>
      <w:tcPr>
        <w:tcBorders>
          <w:bottom w:val="single" w:sz="12" w:space="0" w:color="FFFFFF" w:themeColor="background1"/>
        </w:tcBorders>
        <w:shd w:val="clear" w:color="auto" w:fill="002931" w:themeFill="accent2" w:themeFillShade="CC"/>
      </w:tcPr>
    </w:tblStylePr>
    <w:tblStylePr w:type="lastRow">
      <w:rPr>
        <w:b/>
        <w:bCs/>
        <w:color w:val="00293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2FFE9" w:themeFill="accent1" w:themeFillTint="3F"/>
      </w:tcPr>
    </w:tblStylePr>
    <w:tblStylePr w:type="band1Horz">
      <w:tblPr/>
      <w:tcPr>
        <w:shd w:val="clear" w:color="auto" w:fill="B4FFED" w:themeFill="accent1" w:themeFillTint="33"/>
      </w:tcPr>
    </w:tblStylePr>
  </w:style>
  <w:style w:type="table" w:styleId="ColorfulList-Accent2">
    <w:name w:val="Colorful List Accent 2"/>
    <w:basedOn w:val="TableNormal"/>
    <w:uiPriority w:val="72"/>
    <w:semiHidden/>
    <w:unhideWhenUsed/>
    <w:rsid w:val="009E6ED7"/>
    <w:rPr>
      <w:color w:val="000000" w:themeColor="text1"/>
    </w:rPr>
    <w:tblPr>
      <w:tblStyleRowBandSize w:val="1"/>
      <w:tblStyleColBandSize w:val="1"/>
    </w:tblPr>
    <w:tcPr>
      <w:shd w:val="clear" w:color="auto" w:fill="D3F8FF" w:themeFill="accent2" w:themeFillTint="19"/>
    </w:tcPr>
    <w:tblStylePr w:type="firstRow">
      <w:rPr>
        <w:b/>
        <w:bCs/>
        <w:color w:val="FFFFFF" w:themeColor="background1"/>
      </w:rPr>
      <w:tblPr/>
      <w:tcPr>
        <w:tcBorders>
          <w:bottom w:val="single" w:sz="12" w:space="0" w:color="FFFFFF" w:themeColor="background1"/>
        </w:tcBorders>
        <w:shd w:val="clear" w:color="auto" w:fill="002931" w:themeFill="accent2" w:themeFillShade="CC"/>
      </w:tcPr>
    </w:tblStylePr>
    <w:tblStylePr w:type="lastRow">
      <w:rPr>
        <w:b/>
        <w:bCs/>
        <w:color w:val="00293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0EEFF" w:themeFill="accent2" w:themeFillTint="3F"/>
      </w:tcPr>
    </w:tblStylePr>
    <w:tblStylePr w:type="band1Horz">
      <w:tblPr/>
      <w:tcPr>
        <w:shd w:val="clear" w:color="auto" w:fill="A5F1FF" w:themeFill="accent2" w:themeFillTint="33"/>
      </w:tcPr>
    </w:tblStylePr>
  </w:style>
  <w:style w:type="table" w:styleId="ColorfulList-Accent3">
    <w:name w:val="Colorful List Accent 3"/>
    <w:basedOn w:val="TableNormal"/>
    <w:uiPriority w:val="72"/>
    <w:semiHidden/>
    <w:unhideWhenUsed/>
    <w:rsid w:val="009E6ED7"/>
    <w:rPr>
      <w:color w:val="000000" w:themeColor="text1"/>
    </w:rPr>
    <w:tblPr>
      <w:tblStyleRowBandSize w:val="1"/>
      <w:tblStyleColBandSize w:val="1"/>
    </w:tblPr>
    <w:tcPr>
      <w:shd w:val="clear" w:color="auto" w:fill="F6FAEE" w:themeFill="accent3" w:themeFillTint="19"/>
    </w:tcPr>
    <w:tblStylePr w:type="firstRow">
      <w:rPr>
        <w:b/>
        <w:bCs/>
        <w:color w:val="FFFFFF" w:themeColor="background1"/>
      </w:rPr>
      <w:tblPr/>
      <w:tcPr>
        <w:tcBorders>
          <w:bottom w:val="single" w:sz="12" w:space="0" w:color="FFFFFF" w:themeColor="background1"/>
        </w:tcBorders>
        <w:shd w:val="clear" w:color="auto" w:fill="B71F0F" w:themeFill="accent4" w:themeFillShade="CC"/>
      </w:tcPr>
    </w:tblStylePr>
    <w:tblStylePr w:type="lastRow">
      <w:rPr>
        <w:b/>
        <w:bCs/>
        <w:color w:val="B71F0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AF2D4" w:themeFill="accent3" w:themeFillTint="3F"/>
      </w:tcPr>
    </w:tblStylePr>
    <w:tblStylePr w:type="band1Horz">
      <w:tblPr/>
      <w:tcPr>
        <w:shd w:val="clear" w:color="auto" w:fill="EEF4DC" w:themeFill="accent3" w:themeFillTint="33"/>
      </w:tcPr>
    </w:tblStylePr>
  </w:style>
  <w:style w:type="table" w:styleId="ColorfulList-Accent4">
    <w:name w:val="Colorful List Accent 4"/>
    <w:basedOn w:val="TableNormal"/>
    <w:uiPriority w:val="72"/>
    <w:semiHidden/>
    <w:unhideWhenUsed/>
    <w:rsid w:val="009E6ED7"/>
    <w:rPr>
      <w:color w:val="000000" w:themeColor="text1"/>
    </w:rPr>
    <w:tblPr>
      <w:tblStyleRowBandSize w:val="1"/>
      <w:tblStyleColBandSize w:val="1"/>
    </w:tblPr>
    <w:tcPr>
      <w:shd w:val="clear" w:color="auto" w:fill="FDE8E6" w:themeFill="accent4" w:themeFillTint="19"/>
    </w:tcPr>
    <w:tblStylePr w:type="firstRow">
      <w:rPr>
        <w:b/>
        <w:bCs/>
        <w:color w:val="FFFFFF" w:themeColor="background1"/>
      </w:rPr>
      <w:tblPr/>
      <w:tcPr>
        <w:tcBorders>
          <w:bottom w:val="single" w:sz="12" w:space="0" w:color="FFFFFF" w:themeColor="background1"/>
        </w:tcBorders>
        <w:shd w:val="clear" w:color="auto" w:fill="91B034" w:themeFill="accent3" w:themeFillShade="CC"/>
      </w:tcPr>
    </w:tblStylePr>
    <w:tblStylePr w:type="lastRow">
      <w:rPr>
        <w:b/>
        <w:bCs/>
        <w:color w:val="91B03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C8C2" w:themeFill="accent4" w:themeFillTint="3F"/>
      </w:tcPr>
    </w:tblStylePr>
    <w:tblStylePr w:type="band1Horz">
      <w:tblPr/>
      <w:tcPr>
        <w:shd w:val="clear" w:color="auto" w:fill="FBD2CE" w:themeFill="accent4" w:themeFillTint="33"/>
      </w:tcPr>
    </w:tblStylePr>
  </w:style>
  <w:style w:type="table" w:styleId="ColorfulList-Accent5">
    <w:name w:val="Colorful List Accent 5"/>
    <w:basedOn w:val="TableNormal"/>
    <w:uiPriority w:val="72"/>
    <w:semiHidden/>
    <w:unhideWhenUsed/>
    <w:rsid w:val="009E6ED7"/>
    <w:rPr>
      <w:color w:val="000000" w:themeColor="text1"/>
    </w:rPr>
    <w:tblPr>
      <w:tblStyleRowBandSize w:val="1"/>
      <w:tblStyleColBandSize w:val="1"/>
    </w:tblPr>
    <w:tcPr>
      <w:shd w:val="clear" w:color="auto" w:fill="DCFEFF" w:themeFill="accent5" w:themeFillTint="19"/>
    </w:tcPr>
    <w:tblStylePr w:type="firstRow">
      <w:rPr>
        <w:b/>
        <w:bCs/>
        <w:color w:val="FFFFFF" w:themeColor="background1"/>
      </w:rPr>
      <w:tblPr/>
      <w:tcPr>
        <w:tcBorders>
          <w:bottom w:val="single" w:sz="12" w:space="0" w:color="FFFFFF" w:themeColor="background1"/>
        </w:tcBorders>
        <w:shd w:val="clear" w:color="auto" w:fill="CCA400" w:themeFill="accent6" w:themeFillShade="CC"/>
      </w:tcPr>
    </w:tblStylePr>
    <w:tblStylePr w:type="lastRow">
      <w:rPr>
        <w:b/>
        <w:bCs/>
        <w:color w:val="CCA4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FEFF" w:themeFill="accent5" w:themeFillTint="3F"/>
      </w:tcPr>
    </w:tblStylePr>
    <w:tblStylePr w:type="band1Horz">
      <w:tblPr/>
      <w:tcPr>
        <w:shd w:val="clear" w:color="auto" w:fill="B8FEFF" w:themeFill="accent5" w:themeFillTint="33"/>
      </w:tcPr>
    </w:tblStylePr>
  </w:style>
  <w:style w:type="table" w:styleId="ColorfulList-Accent6">
    <w:name w:val="Colorful List Accent 6"/>
    <w:basedOn w:val="TableNormal"/>
    <w:uiPriority w:val="72"/>
    <w:semiHidden/>
    <w:unhideWhenUsed/>
    <w:rsid w:val="009E6ED7"/>
    <w:rPr>
      <w:color w:val="000000" w:themeColor="text1"/>
    </w:rPr>
    <w:tblPr>
      <w:tblStyleRowBandSize w:val="1"/>
      <w:tblStyleColBandSize w:val="1"/>
    </w:tblPr>
    <w:tcPr>
      <w:shd w:val="clear" w:color="auto" w:fill="FFFAE6" w:themeFill="accent6" w:themeFillTint="19"/>
    </w:tcPr>
    <w:tblStylePr w:type="firstRow">
      <w:rPr>
        <w:b/>
        <w:bCs/>
        <w:color w:val="FFFFFF" w:themeColor="background1"/>
      </w:rPr>
      <w:tblPr/>
      <w:tcPr>
        <w:tcBorders>
          <w:bottom w:val="single" w:sz="12" w:space="0" w:color="FFFFFF" w:themeColor="background1"/>
        </w:tcBorders>
        <w:shd w:val="clear" w:color="auto" w:fill="007B7C" w:themeFill="accent5" w:themeFillShade="CC"/>
      </w:tcPr>
    </w:tblStylePr>
    <w:tblStylePr w:type="lastRow">
      <w:rPr>
        <w:b/>
        <w:bCs/>
        <w:color w:val="007B7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2C0" w:themeFill="accent6" w:themeFillTint="3F"/>
      </w:tcPr>
    </w:tblStylePr>
    <w:tblStylePr w:type="band1Horz">
      <w:tblPr/>
      <w:tcPr>
        <w:shd w:val="clear" w:color="auto" w:fill="FFF5CC" w:themeFill="accent6" w:themeFillTint="33"/>
      </w:tcPr>
    </w:tblStylePr>
  </w:style>
  <w:style w:type="table" w:styleId="ColorfulShading">
    <w:name w:val="Colorful Shading"/>
    <w:basedOn w:val="TableNormal"/>
    <w:uiPriority w:val="71"/>
    <w:semiHidden/>
    <w:unhideWhenUsed/>
    <w:rsid w:val="009E6ED7"/>
    <w:rPr>
      <w:color w:val="000000" w:themeColor="text1"/>
    </w:rPr>
    <w:tblPr>
      <w:tblStyleRowBandSize w:val="1"/>
      <w:tblStyleColBandSize w:val="1"/>
      <w:tblBorders>
        <w:top w:val="single" w:sz="24" w:space="0" w:color="00353E"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353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9E6ED7"/>
    <w:rPr>
      <w:color w:val="000000" w:themeColor="text1"/>
    </w:rPr>
    <w:tblPr>
      <w:tblStyleRowBandSize w:val="1"/>
      <w:tblStyleColBandSize w:val="1"/>
      <w:tblBorders>
        <w:top w:val="single" w:sz="24" w:space="0" w:color="00353E" w:themeColor="accent2"/>
        <w:left w:val="single" w:sz="4" w:space="0" w:color="008768" w:themeColor="accent1"/>
        <w:bottom w:val="single" w:sz="4" w:space="0" w:color="008768" w:themeColor="accent1"/>
        <w:right w:val="single" w:sz="4" w:space="0" w:color="008768" w:themeColor="accent1"/>
        <w:insideH w:val="single" w:sz="4" w:space="0" w:color="FFFFFF" w:themeColor="background1"/>
        <w:insideV w:val="single" w:sz="4" w:space="0" w:color="FFFFFF" w:themeColor="background1"/>
      </w:tblBorders>
    </w:tblPr>
    <w:tcPr>
      <w:shd w:val="clear" w:color="auto" w:fill="DAFFF6" w:themeFill="accent1" w:themeFillTint="19"/>
    </w:tcPr>
    <w:tblStylePr w:type="firstRow">
      <w:rPr>
        <w:b/>
        <w:bCs/>
      </w:rPr>
      <w:tblPr/>
      <w:tcPr>
        <w:tcBorders>
          <w:top w:val="nil"/>
          <w:left w:val="nil"/>
          <w:bottom w:val="single" w:sz="24" w:space="0" w:color="00353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13E" w:themeFill="accent1" w:themeFillShade="99"/>
      </w:tcPr>
    </w:tblStylePr>
    <w:tblStylePr w:type="firstCol">
      <w:rPr>
        <w:color w:val="FFFFFF" w:themeColor="background1"/>
      </w:rPr>
      <w:tblPr/>
      <w:tcPr>
        <w:tcBorders>
          <w:top w:val="nil"/>
          <w:left w:val="nil"/>
          <w:bottom w:val="nil"/>
          <w:right w:val="nil"/>
          <w:insideH w:val="single" w:sz="4" w:space="0" w:color="00513E" w:themeColor="accent1" w:themeShade="99"/>
          <w:insideV w:val="nil"/>
        </w:tcBorders>
        <w:shd w:val="clear" w:color="auto" w:fill="00513E"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513E" w:themeFill="accent1" w:themeFillShade="99"/>
      </w:tcPr>
    </w:tblStylePr>
    <w:tblStylePr w:type="band1Vert">
      <w:tblPr/>
      <w:tcPr>
        <w:shd w:val="clear" w:color="auto" w:fill="69FFDC" w:themeFill="accent1" w:themeFillTint="66"/>
      </w:tcPr>
    </w:tblStylePr>
    <w:tblStylePr w:type="band1Horz">
      <w:tblPr/>
      <w:tcPr>
        <w:shd w:val="clear" w:color="auto" w:fill="44FFD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9E6ED7"/>
    <w:rPr>
      <w:color w:val="000000" w:themeColor="text1"/>
    </w:rPr>
    <w:tblPr>
      <w:tblStyleRowBandSize w:val="1"/>
      <w:tblStyleColBandSize w:val="1"/>
      <w:tblBorders>
        <w:top w:val="single" w:sz="24" w:space="0" w:color="00353E" w:themeColor="accent2"/>
        <w:left w:val="single" w:sz="4" w:space="0" w:color="00353E" w:themeColor="accent2"/>
        <w:bottom w:val="single" w:sz="4" w:space="0" w:color="00353E" w:themeColor="accent2"/>
        <w:right w:val="single" w:sz="4" w:space="0" w:color="00353E" w:themeColor="accent2"/>
        <w:insideH w:val="single" w:sz="4" w:space="0" w:color="FFFFFF" w:themeColor="background1"/>
        <w:insideV w:val="single" w:sz="4" w:space="0" w:color="FFFFFF" w:themeColor="background1"/>
      </w:tblBorders>
    </w:tblPr>
    <w:tcPr>
      <w:shd w:val="clear" w:color="auto" w:fill="D3F8FF" w:themeFill="accent2" w:themeFillTint="19"/>
    </w:tcPr>
    <w:tblStylePr w:type="firstRow">
      <w:rPr>
        <w:b/>
        <w:bCs/>
      </w:rPr>
      <w:tblPr/>
      <w:tcPr>
        <w:tcBorders>
          <w:top w:val="nil"/>
          <w:left w:val="nil"/>
          <w:bottom w:val="single" w:sz="24" w:space="0" w:color="00353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F25" w:themeFill="accent2" w:themeFillShade="99"/>
      </w:tcPr>
    </w:tblStylePr>
    <w:tblStylePr w:type="firstCol">
      <w:rPr>
        <w:color w:val="FFFFFF" w:themeColor="background1"/>
      </w:rPr>
      <w:tblPr/>
      <w:tcPr>
        <w:tcBorders>
          <w:top w:val="nil"/>
          <w:left w:val="nil"/>
          <w:bottom w:val="nil"/>
          <w:right w:val="nil"/>
          <w:insideH w:val="single" w:sz="4" w:space="0" w:color="001F25" w:themeColor="accent2" w:themeShade="99"/>
          <w:insideV w:val="nil"/>
        </w:tcBorders>
        <w:shd w:val="clear" w:color="auto" w:fill="001F2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1F25" w:themeFill="accent2" w:themeFillShade="99"/>
      </w:tcPr>
    </w:tblStylePr>
    <w:tblStylePr w:type="band1Vert">
      <w:tblPr/>
      <w:tcPr>
        <w:shd w:val="clear" w:color="auto" w:fill="4BE4FF" w:themeFill="accent2" w:themeFillTint="66"/>
      </w:tcPr>
    </w:tblStylePr>
    <w:tblStylePr w:type="band1Horz">
      <w:tblPr/>
      <w:tcPr>
        <w:shd w:val="clear" w:color="auto" w:fill="1FDDF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9E6ED7"/>
    <w:rPr>
      <w:color w:val="000000" w:themeColor="text1"/>
    </w:rPr>
    <w:tblPr>
      <w:tblStyleRowBandSize w:val="1"/>
      <w:tblStyleColBandSize w:val="1"/>
      <w:tblBorders>
        <w:top w:val="single" w:sz="24" w:space="0" w:color="E52713" w:themeColor="accent4"/>
        <w:left w:val="single" w:sz="4" w:space="0" w:color="AECC53" w:themeColor="accent3"/>
        <w:bottom w:val="single" w:sz="4" w:space="0" w:color="AECC53" w:themeColor="accent3"/>
        <w:right w:val="single" w:sz="4" w:space="0" w:color="AECC53" w:themeColor="accent3"/>
        <w:insideH w:val="single" w:sz="4" w:space="0" w:color="FFFFFF" w:themeColor="background1"/>
        <w:insideV w:val="single" w:sz="4" w:space="0" w:color="FFFFFF" w:themeColor="background1"/>
      </w:tblBorders>
    </w:tblPr>
    <w:tcPr>
      <w:shd w:val="clear" w:color="auto" w:fill="F6FAEE" w:themeFill="accent3" w:themeFillTint="19"/>
    </w:tcPr>
    <w:tblStylePr w:type="firstRow">
      <w:rPr>
        <w:b/>
        <w:bCs/>
      </w:rPr>
      <w:tblPr/>
      <w:tcPr>
        <w:tcBorders>
          <w:top w:val="nil"/>
          <w:left w:val="nil"/>
          <w:bottom w:val="single" w:sz="24" w:space="0" w:color="E5271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D8427" w:themeFill="accent3" w:themeFillShade="99"/>
      </w:tcPr>
    </w:tblStylePr>
    <w:tblStylePr w:type="firstCol">
      <w:rPr>
        <w:color w:val="FFFFFF" w:themeColor="background1"/>
      </w:rPr>
      <w:tblPr/>
      <w:tcPr>
        <w:tcBorders>
          <w:top w:val="nil"/>
          <w:left w:val="nil"/>
          <w:bottom w:val="nil"/>
          <w:right w:val="nil"/>
          <w:insideH w:val="single" w:sz="4" w:space="0" w:color="6D8427" w:themeColor="accent3" w:themeShade="99"/>
          <w:insideV w:val="nil"/>
        </w:tcBorders>
        <w:shd w:val="clear" w:color="auto" w:fill="6D8427"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D8427" w:themeFill="accent3" w:themeFillShade="99"/>
      </w:tcPr>
    </w:tblStylePr>
    <w:tblStylePr w:type="band1Vert">
      <w:tblPr/>
      <w:tcPr>
        <w:shd w:val="clear" w:color="auto" w:fill="DEEABA" w:themeFill="accent3" w:themeFillTint="66"/>
      </w:tcPr>
    </w:tblStylePr>
    <w:tblStylePr w:type="band1Horz">
      <w:tblPr/>
      <w:tcPr>
        <w:shd w:val="clear" w:color="auto" w:fill="D6E5A9" w:themeFill="accent3" w:themeFillTint="7F"/>
      </w:tcPr>
    </w:tblStylePr>
  </w:style>
  <w:style w:type="table" w:styleId="ColorfulShading-Accent4">
    <w:name w:val="Colorful Shading Accent 4"/>
    <w:basedOn w:val="TableNormal"/>
    <w:uiPriority w:val="71"/>
    <w:semiHidden/>
    <w:unhideWhenUsed/>
    <w:rsid w:val="009E6ED7"/>
    <w:rPr>
      <w:color w:val="000000" w:themeColor="text1"/>
    </w:rPr>
    <w:tblPr>
      <w:tblStyleRowBandSize w:val="1"/>
      <w:tblStyleColBandSize w:val="1"/>
      <w:tblBorders>
        <w:top w:val="single" w:sz="24" w:space="0" w:color="AECC53" w:themeColor="accent3"/>
        <w:left w:val="single" w:sz="4" w:space="0" w:color="E52713" w:themeColor="accent4"/>
        <w:bottom w:val="single" w:sz="4" w:space="0" w:color="E52713" w:themeColor="accent4"/>
        <w:right w:val="single" w:sz="4" w:space="0" w:color="E52713" w:themeColor="accent4"/>
        <w:insideH w:val="single" w:sz="4" w:space="0" w:color="FFFFFF" w:themeColor="background1"/>
        <w:insideV w:val="single" w:sz="4" w:space="0" w:color="FFFFFF" w:themeColor="background1"/>
      </w:tblBorders>
    </w:tblPr>
    <w:tcPr>
      <w:shd w:val="clear" w:color="auto" w:fill="FDE8E6" w:themeFill="accent4" w:themeFillTint="19"/>
    </w:tcPr>
    <w:tblStylePr w:type="firstRow">
      <w:rPr>
        <w:b/>
        <w:bCs/>
      </w:rPr>
      <w:tblPr/>
      <w:tcPr>
        <w:tcBorders>
          <w:top w:val="nil"/>
          <w:left w:val="nil"/>
          <w:bottom w:val="single" w:sz="24" w:space="0" w:color="AECC5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9170B" w:themeFill="accent4" w:themeFillShade="99"/>
      </w:tcPr>
    </w:tblStylePr>
    <w:tblStylePr w:type="firstCol">
      <w:rPr>
        <w:color w:val="FFFFFF" w:themeColor="background1"/>
      </w:rPr>
      <w:tblPr/>
      <w:tcPr>
        <w:tcBorders>
          <w:top w:val="nil"/>
          <w:left w:val="nil"/>
          <w:bottom w:val="nil"/>
          <w:right w:val="nil"/>
          <w:insideH w:val="single" w:sz="4" w:space="0" w:color="89170B" w:themeColor="accent4" w:themeShade="99"/>
          <w:insideV w:val="nil"/>
        </w:tcBorders>
        <w:shd w:val="clear" w:color="auto" w:fill="89170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89170B" w:themeFill="accent4" w:themeFillShade="99"/>
      </w:tcPr>
    </w:tblStylePr>
    <w:tblStylePr w:type="band1Vert">
      <w:tblPr/>
      <w:tcPr>
        <w:shd w:val="clear" w:color="auto" w:fill="F7A69E" w:themeFill="accent4" w:themeFillTint="66"/>
      </w:tcPr>
    </w:tblStylePr>
    <w:tblStylePr w:type="band1Horz">
      <w:tblPr/>
      <w:tcPr>
        <w:shd w:val="clear" w:color="auto" w:fill="F59086"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9E6ED7"/>
    <w:rPr>
      <w:color w:val="000000" w:themeColor="text1"/>
    </w:rPr>
    <w:tblPr>
      <w:tblStyleRowBandSize w:val="1"/>
      <w:tblStyleColBandSize w:val="1"/>
      <w:tblBorders>
        <w:top w:val="single" w:sz="24" w:space="0" w:color="FFCE00" w:themeColor="accent6"/>
        <w:left w:val="single" w:sz="4" w:space="0" w:color="009A9B" w:themeColor="accent5"/>
        <w:bottom w:val="single" w:sz="4" w:space="0" w:color="009A9B" w:themeColor="accent5"/>
        <w:right w:val="single" w:sz="4" w:space="0" w:color="009A9B" w:themeColor="accent5"/>
        <w:insideH w:val="single" w:sz="4" w:space="0" w:color="FFFFFF" w:themeColor="background1"/>
        <w:insideV w:val="single" w:sz="4" w:space="0" w:color="FFFFFF" w:themeColor="background1"/>
      </w:tblBorders>
    </w:tblPr>
    <w:tcPr>
      <w:shd w:val="clear" w:color="auto" w:fill="DCFEFF" w:themeFill="accent5" w:themeFillTint="19"/>
    </w:tcPr>
    <w:tblStylePr w:type="firstRow">
      <w:rPr>
        <w:b/>
        <w:bCs/>
      </w:rPr>
      <w:tblPr/>
      <w:tcPr>
        <w:tcBorders>
          <w:top w:val="nil"/>
          <w:left w:val="nil"/>
          <w:bottom w:val="single" w:sz="24" w:space="0" w:color="FFCE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C5D" w:themeFill="accent5" w:themeFillShade="99"/>
      </w:tcPr>
    </w:tblStylePr>
    <w:tblStylePr w:type="firstCol">
      <w:rPr>
        <w:color w:val="FFFFFF" w:themeColor="background1"/>
      </w:rPr>
      <w:tblPr/>
      <w:tcPr>
        <w:tcBorders>
          <w:top w:val="nil"/>
          <w:left w:val="nil"/>
          <w:bottom w:val="nil"/>
          <w:right w:val="nil"/>
          <w:insideH w:val="single" w:sz="4" w:space="0" w:color="005C5D" w:themeColor="accent5" w:themeShade="99"/>
          <w:insideV w:val="nil"/>
        </w:tcBorders>
        <w:shd w:val="clear" w:color="auto" w:fill="005C5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5C5D" w:themeFill="accent5" w:themeFillShade="99"/>
      </w:tcPr>
    </w:tblStylePr>
    <w:tblStylePr w:type="band1Vert">
      <w:tblPr/>
      <w:tcPr>
        <w:shd w:val="clear" w:color="auto" w:fill="71FDFF" w:themeFill="accent5" w:themeFillTint="66"/>
      </w:tcPr>
    </w:tblStylePr>
    <w:tblStylePr w:type="band1Horz">
      <w:tblPr/>
      <w:tcPr>
        <w:shd w:val="clear" w:color="auto" w:fill="4EFDF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9E6ED7"/>
    <w:rPr>
      <w:color w:val="000000" w:themeColor="text1"/>
    </w:rPr>
    <w:tblPr>
      <w:tblStyleRowBandSize w:val="1"/>
      <w:tblStyleColBandSize w:val="1"/>
      <w:tblBorders>
        <w:top w:val="single" w:sz="24" w:space="0" w:color="009A9B" w:themeColor="accent5"/>
        <w:left w:val="single" w:sz="4" w:space="0" w:color="FFCE00" w:themeColor="accent6"/>
        <w:bottom w:val="single" w:sz="4" w:space="0" w:color="FFCE00" w:themeColor="accent6"/>
        <w:right w:val="single" w:sz="4" w:space="0" w:color="FFCE00" w:themeColor="accent6"/>
        <w:insideH w:val="single" w:sz="4" w:space="0" w:color="FFFFFF" w:themeColor="background1"/>
        <w:insideV w:val="single" w:sz="4" w:space="0" w:color="FFFFFF" w:themeColor="background1"/>
      </w:tblBorders>
    </w:tblPr>
    <w:tcPr>
      <w:shd w:val="clear" w:color="auto" w:fill="FFFAE6" w:themeFill="accent6" w:themeFillTint="19"/>
    </w:tcPr>
    <w:tblStylePr w:type="firstRow">
      <w:rPr>
        <w:b/>
        <w:bCs/>
      </w:rPr>
      <w:tblPr/>
      <w:tcPr>
        <w:tcBorders>
          <w:top w:val="nil"/>
          <w:left w:val="nil"/>
          <w:bottom w:val="single" w:sz="24" w:space="0" w:color="009A9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B00" w:themeFill="accent6" w:themeFillShade="99"/>
      </w:tcPr>
    </w:tblStylePr>
    <w:tblStylePr w:type="firstCol">
      <w:rPr>
        <w:color w:val="FFFFFF" w:themeColor="background1"/>
      </w:rPr>
      <w:tblPr/>
      <w:tcPr>
        <w:tcBorders>
          <w:top w:val="nil"/>
          <w:left w:val="nil"/>
          <w:bottom w:val="nil"/>
          <w:right w:val="nil"/>
          <w:insideH w:val="single" w:sz="4" w:space="0" w:color="997B00" w:themeColor="accent6" w:themeShade="99"/>
          <w:insideV w:val="nil"/>
        </w:tcBorders>
        <w:shd w:val="clear" w:color="auto" w:fill="997B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7B00" w:themeFill="accent6" w:themeFillShade="99"/>
      </w:tcPr>
    </w:tblStylePr>
    <w:tblStylePr w:type="band1Vert">
      <w:tblPr/>
      <w:tcPr>
        <w:shd w:val="clear" w:color="auto" w:fill="FFEB99" w:themeFill="accent6" w:themeFillTint="66"/>
      </w:tcPr>
    </w:tblStylePr>
    <w:tblStylePr w:type="band1Horz">
      <w:tblPr/>
      <w:tcPr>
        <w:shd w:val="clear" w:color="auto" w:fill="FFE68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9E6ED7"/>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9E6ED7"/>
    <w:rPr>
      <w:color w:val="FFFFFF" w:themeColor="background1"/>
    </w:rPr>
    <w:tblPr>
      <w:tblStyleRowBandSize w:val="1"/>
      <w:tblStyleColBandSize w:val="1"/>
    </w:tblPr>
    <w:tcPr>
      <w:shd w:val="clear" w:color="auto" w:fill="00876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33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654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654D" w:themeFill="accent1" w:themeFillShade="BF"/>
      </w:tcPr>
    </w:tblStylePr>
    <w:tblStylePr w:type="band1Vert">
      <w:tblPr/>
      <w:tcPr>
        <w:tcBorders>
          <w:top w:val="nil"/>
          <w:left w:val="nil"/>
          <w:bottom w:val="nil"/>
          <w:right w:val="nil"/>
          <w:insideH w:val="nil"/>
          <w:insideV w:val="nil"/>
        </w:tcBorders>
        <w:shd w:val="clear" w:color="auto" w:fill="00654D" w:themeFill="accent1" w:themeFillShade="BF"/>
      </w:tcPr>
    </w:tblStylePr>
    <w:tblStylePr w:type="band1Horz">
      <w:tblPr/>
      <w:tcPr>
        <w:tcBorders>
          <w:top w:val="nil"/>
          <w:left w:val="nil"/>
          <w:bottom w:val="nil"/>
          <w:right w:val="nil"/>
          <w:insideH w:val="nil"/>
          <w:insideV w:val="nil"/>
        </w:tcBorders>
        <w:shd w:val="clear" w:color="auto" w:fill="00654D" w:themeFill="accent1" w:themeFillShade="BF"/>
      </w:tcPr>
    </w:tblStylePr>
  </w:style>
  <w:style w:type="table" w:styleId="DarkList-Accent2">
    <w:name w:val="Dark List Accent 2"/>
    <w:basedOn w:val="TableNormal"/>
    <w:uiPriority w:val="70"/>
    <w:semiHidden/>
    <w:unhideWhenUsed/>
    <w:rsid w:val="009E6ED7"/>
    <w:rPr>
      <w:color w:val="FFFFFF" w:themeColor="background1"/>
    </w:rPr>
    <w:tblPr>
      <w:tblStyleRowBandSize w:val="1"/>
      <w:tblStyleColBandSize w:val="1"/>
    </w:tblPr>
    <w:tcPr>
      <w:shd w:val="clear" w:color="auto" w:fill="00353E"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A1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272E"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272E" w:themeFill="accent2" w:themeFillShade="BF"/>
      </w:tcPr>
    </w:tblStylePr>
    <w:tblStylePr w:type="band1Vert">
      <w:tblPr/>
      <w:tcPr>
        <w:tcBorders>
          <w:top w:val="nil"/>
          <w:left w:val="nil"/>
          <w:bottom w:val="nil"/>
          <w:right w:val="nil"/>
          <w:insideH w:val="nil"/>
          <w:insideV w:val="nil"/>
        </w:tcBorders>
        <w:shd w:val="clear" w:color="auto" w:fill="00272E" w:themeFill="accent2" w:themeFillShade="BF"/>
      </w:tcPr>
    </w:tblStylePr>
    <w:tblStylePr w:type="band1Horz">
      <w:tblPr/>
      <w:tcPr>
        <w:tcBorders>
          <w:top w:val="nil"/>
          <w:left w:val="nil"/>
          <w:bottom w:val="nil"/>
          <w:right w:val="nil"/>
          <w:insideH w:val="nil"/>
          <w:insideV w:val="nil"/>
        </w:tcBorders>
        <w:shd w:val="clear" w:color="auto" w:fill="00272E" w:themeFill="accent2" w:themeFillShade="BF"/>
      </w:tcPr>
    </w:tblStylePr>
  </w:style>
  <w:style w:type="table" w:styleId="DarkList-Accent3">
    <w:name w:val="Dark List Accent 3"/>
    <w:basedOn w:val="TableNormal"/>
    <w:uiPriority w:val="70"/>
    <w:semiHidden/>
    <w:unhideWhenUsed/>
    <w:rsid w:val="009E6ED7"/>
    <w:rPr>
      <w:color w:val="FFFFFF" w:themeColor="background1"/>
    </w:rPr>
    <w:tblPr>
      <w:tblStyleRowBandSize w:val="1"/>
      <w:tblStyleColBandSize w:val="1"/>
    </w:tblPr>
    <w:tcPr>
      <w:shd w:val="clear" w:color="auto" w:fill="AECC5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A6E2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8A53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8A531" w:themeFill="accent3" w:themeFillShade="BF"/>
      </w:tcPr>
    </w:tblStylePr>
    <w:tblStylePr w:type="band1Vert">
      <w:tblPr/>
      <w:tcPr>
        <w:tcBorders>
          <w:top w:val="nil"/>
          <w:left w:val="nil"/>
          <w:bottom w:val="nil"/>
          <w:right w:val="nil"/>
          <w:insideH w:val="nil"/>
          <w:insideV w:val="nil"/>
        </w:tcBorders>
        <w:shd w:val="clear" w:color="auto" w:fill="88A531" w:themeFill="accent3" w:themeFillShade="BF"/>
      </w:tcPr>
    </w:tblStylePr>
    <w:tblStylePr w:type="band1Horz">
      <w:tblPr/>
      <w:tcPr>
        <w:tcBorders>
          <w:top w:val="nil"/>
          <w:left w:val="nil"/>
          <w:bottom w:val="nil"/>
          <w:right w:val="nil"/>
          <w:insideH w:val="nil"/>
          <w:insideV w:val="nil"/>
        </w:tcBorders>
        <w:shd w:val="clear" w:color="auto" w:fill="88A531" w:themeFill="accent3" w:themeFillShade="BF"/>
      </w:tcPr>
    </w:tblStylePr>
  </w:style>
  <w:style w:type="table" w:styleId="DarkList-Accent4">
    <w:name w:val="Dark List Accent 4"/>
    <w:basedOn w:val="TableNormal"/>
    <w:uiPriority w:val="70"/>
    <w:semiHidden/>
    <w:unhideWhenUsed/>
    <w:rsid w:val="009E6ED7"/>
    <w:rPr>
      <w:color w:val="FFFFFF" w:themeColor="background1"/>
    </w:rPr>
    <w:tblPr>
      <w:tblStyleRowBandSize w:val="1"/>
      <w:tblStyleColBandSize w:val="1"/>
    </w:tblPr>
    <w:tcPr>
      <w:shd w:val="clear" w:color="auto" w:fill="E5271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1130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AB1D0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AB1D0E" w:themeFill="accent4" w:themeFillShade="BF"/>
      </w:tcPr>
    </w:tblStylePr>
    <w:tblStylePr w:type="band1Vert">
      <w:tblPr/>
      <w:tcPr>
        <w:tcBorders>
          <w:top w:val="nil"/>
          <w:left w:val="nil"/>
          <w:bottom w:val="nil"/>
          <w:right w:val="nil"/>
          <w:insideH w:val="nil"/>
          <w:insideV w:val="nil"/>
        </w:tcBorders>
        <w:shd w:val="clear" w:color="auto" w:fill="AB1D0E" w:themeFill="accent4" w:themeFillShade="BF"/>
      </w:tcPr>
    </w:tblStylePr>
    <w:tblStylePr w:type="band1Horz">
      <w:tblPr/>
      <w:tcPr>
        <w:tcBorders>
          <w:top w:val="nil"/>
          <w:left w:val="nil"/>
          <w:bottom w:val="nil"/>
          <w:right w:val="nil"/>
          <w:insideH w:val="nil"/>
          <w:insideV w:val="nil"/>
        </w:tcBorders>
        <w:shd w:val="clear" w:color="auto" w:fill="AB1D0E" w:themeFill="accent4" w:themeFillShade="BF"/>
      </w:tcPr>
    </w:tblStylePr>
  </w:style>
  <w:style w:type="table" w:styleId="DarkList-Accent5">
    <w:name w:val="Dark List Accent 5"/>
    <w:basedOn w:val="TableNormal"/>
    <w:uiPriority w:val="70"/>
    <w:semiHidden/>
    <w:unhideWhenUsed/>
    <w:rsid w:val="009E6ED7"/>
    <w:rPr>
      <w:color w:val="FFFFFF" w:themeColor="background1"/>
    </w:rPr>
    <w:tblPr>
      <w:tblStyleRowBandSize w:val="1"/>
      <w:tblStyleColBandSize w:val="1"/>
    </w:tblPr>
    <w:tcPr>
      <w:shd w:val="clear" w:color="auto" w:fill="009A9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C4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7374"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7374" w:themeFill="accent5" w:themeFillShade="BF"/>
      </w:tcPr>
    </w:tblStylePr>
    <w:tblStylePr w:type="band1Vert">
      <w:tblPr/>
      <w:tcPr>
        <w:tcBorders>
          <w:top w:val="nil"/>
          <w:left w:val="nil"/>
          <w:bottom w:val="nil"/>
          <w:right w:val="nil"/>
          <w:insideH w:val="nil"/>
          <w:insideV w:val="nil"/>
        </w:tcBorders>
        <w:shd w:val="clear" w:color="auto" w:fill="007374" w:themeFill="accent5" w:themeFillShade="BF"/>
      </w:tcPr>
    </w:tblStylePr>
    <w:tblStylePr w:type="band1Horz">
      <w:tblPr/>
      <w:tcPr>
        <w:tcBorders>
          <w:top w:val="nil"/>
          <w:left w:val="nil"/>
          <w:bottom w:val="nil"/>
          <w:right w:val="nil"/>
          <w:insideH w:val="nil"/>
          <w:insideV w:val="nil"/>
        </w:tcBorders>
        <w:shd w:val="clear" w:color="auto" w:fill="007374" w:themeFill="accent5" w:themeFillShade="BF"/>
      </w:tcPr>
    </w:tblStylePr>
  </w:style>
  <w:style w:type="table" w:styleId="DarkList-Accent6">
    <w:name w:val="Dark List Accent 6"/>
    <w:basedOn w:val="TableNormal"/>
    <w:uiPriority w:val="70"/>
    <w:semiHidden/>
    <w:unhideWhenUsed/>
    <w:rsid w:val="009E6ED7"/>
    <w:rPr>
      <w:color w:val="FFFFFF" w:themeColor="background1"/>
    </w:rPr>
    <w:tblPr>
      <w:tblStyleRowBandSize w:val="1"/>
      <w:tblStyleColBandSize w:val="1"/>
    </w:tblPr>
    <w:tcPr>
      <w:shd w:val="clear" w:color="auto" w:fill="FFCE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66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F9A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F9A00" w:themeFill="accent6" w:themeFillShade="BF"/>
      </w:tcPr>
    </w:tblStylePr>
    <w:tblStylePr w:type="band1Vert">
      <w:tblPr/>
      <w:tcPr>
        <w:tcBorders>
          <w:top w:val="nil"/>
          <w:left w:val="nil"/>
          <w:bottom w:val="nil"/>
          <w:right w:val="nil"/>
          <w:insideH w:val="nil"/>
          <w:insideV w:val="nil"/>
        </w:tcBorders>
        <w:shd w:val="clear" w:color="auto" w:fill="BF9A00" w:themeFill="accent6" w:themeFillShade="BF"/>
      </w:tcPr>
    </w:tblStylePr>
    <w:tblStylePr w:type="band1Horz">
      <w:tblPr/>
      <w:tcPr>
        <w:tcBorders>
          <w:top w:val="nil"/>
          <w:left w:val="nil"/>
          <w:bottom w:val="nil"/>
          <w:right w:val="nil"/>
          <w:insideH w:val="nil"/>
          <w:insideV w:val="nil"/>
        </w:tcBorders>
        <w:shd w:val="clear" w:color="auto" w:fill="BF9A00" w:themeFill="accent6" w:themeFillShade="BF"/>
      </w:tcPr>
    </w:tblStylePr>
  </w:style>
  <w:style w:type="table" w:styleId="LightGrid">
    <w:name w:val="Light Grid"/>
    <w:basedOn w:val="TableNormal"/>
    <w:uiPriority w:val="62"/>
    <w:semiHidden/>
    <w:unhideWhenUsed/>
    <w:rsid w:val="009E6ED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9E6ED7"/>
    <w:tblPr>
      <w:tblStyleRowBandSize w:val="1"/>
      <w:tblStyleColBandSize w:val="1"/>
      <w:tblBorders>
        <w:top w:val="single" w:sz="8" w:space="0" w:color="008768" w:themeColor="accent1"/>
        <w:left w:val="single" w:sz="8" w:space="0" w:color="008768" w:themeColor="accent1"/>
        <w:bottom w:val="single" w:sz="8" w:space="0" w:color="008768" w:themeColor="accent1"/>
        <w:right w:val="single" w:sz="8" w:space="0" w:color="008768" w:themeColor="accent1"/>
        <w:insideH w:val="single" w:sz="8" w:space="0" w:color="008768" w:themeColor="accent1"/>
        <w:insideV w:val="single" w:sz="8" w:space="0" w:color="00876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768" w:themeColor="accent1"/>
          <w:left w:val="single" w:sz="8" w:space="0" w:color="008768" w:themeColor="accent1"/>
          <w:bottom w:val="single" w:sz="18" w:space="0" w:color="008768" w:themeColor="accent1"/>
          <w:right w:val="single" w:sz="8" w:space="0" w:color="008768" w:themeColor="accent1"/>
          <w:insideH w:val="nil"/>
          <w:insideV w:val="single" w:sz="8" w:space="0" w:color="00876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768" w:themeColor="accent1"/>
          <w:left w:val="single" w:sz="8" w:space="0" w:color="008768" w:themeColor="accent1"/>
          <w:bottom w:val="single" w:sz="8" w:space="0" w:color="008768" w:themeColor="accent1"/>
          <w:right w:val="single" w:sz="8" w:space="0" w:color="008768" w:themeColor="accent1"/>
          <w:insideH w:val="nil"/>
          <w:insideV w:val="single" w:sz="8" w:space="0" w:color="00876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768" w:themeColor="accent1"/>
          <w:left w:val="single" w:sz="8" w:space="0" w:color="008768" w:themeColor="accent1"/>
          <w:bottom w:val="single" w:sz="8" w:space="0" w:color="008768" w:themeColor="accent1"/>
          <w:right w:val="single" w:sz="8" w:space="0" w:color="008768" w:themeColor="accent1"/>
        </w:tcBorders>
      </w:tcPr>
    </w:tblStylePr>
    <w:tblStylePr w:type="band1Vert">
      <w:tblPr/>
      <w:tcPr>
        <w:tcBorders>
          <w:top w:val="single" w:sz="8" w:space="0" w:color="008768" w:themeColor="accent1"/>
          <w:left w:val="single" w:sz="8" w:space="0" w:color="008768" w:themeColor="accent1"/>
          <w:bottom w:val="single" w:sz="8" w:space="0" w:color="008768" w:themeColor="accent1"/>
          <w:right w:val="single" w:sz="8" w:space="0" w:color="008768" w:themeColor="accent1"/>
        </w:tcBorders>
        <w:shd w:val="clear" w:color="auto" w:fill="A2FFE9" w:themeFill="accent1" w:themeFillTint="3F"/>
      </w:tcPr>
    </w:tblStylePr>
    <w:tblStylePr w:type="band1Horz">
      <w:tblPr/>
      <w:tcPr>
        <w:tcBorders>
          <w:top w:val="single" w:sz="8" w:space="0" w:color="008768" w:themeColor="accent1"/>
          <w:left w:val="single" w:sz="8" w:space="0" w:color="008768" w:themeColor="accent1"/>
          <w:bottom w:val="single" w:sz="8" w:space="0" w:color="008768" w:themeColor="accent1"/>
          <w:right w:val="single" w:sz="8" w:space="0" w:color="008768" w:themeColor="accent1"/>
          <w:insideV w:val="single" w:sz="8" w:space="0" w:color="008768" w:themeColor="accent1"/>
        </w:tcBorders>
        <w:shd w:val="clear" w:color="auto" w:fill="A2FFE9" w:themeFill="accent1" w:themeFillTint="3F"/>
      </w:tcPr>
    </w:tblStylePr>
    <w:tblStylePr w:type="band2Horz">
      <w:tblPr/>
      <w:tcPr>
        <w:tcBorders>
          <w:top w:val="single" w:sz="8" w:space="0" w:color="008768" w:themeColor="accent1"/>
          <w:left w:val="single" w:sz="8" w:space="0" w:color="008768" w:themeColor="accent1"/>
          <w:bottom w:val="single" w:sz="8" w:space="0" w:color="008768" w:themeColor="accent1"/>
          <w:right w:val="single" w:sz="8" w:space="0" w:color="008768" w:themeColor="accent1"/>
          <w:insideV w:val="single" w:sz="8" w:space="0" w:color="008768" w:themeColor="accent1"/>
        </w:tcBorders>
      </w:tcPr>
    </w:tblStylePr>
  </w:style>
  <w:style w:type="table" w:styleId="LightGrid-Accent2">
    <w:name w:val="Light Grid Accent 2"/>
    <w:basedOn w:val="TableNormal"/>
    <w:uiPriority w:val="62"/>
    <w:semiHidden/>
    <w:unhideWhenUsed/>
    <w:rsid w:val="009E6ED7"/>
    <w:tblPr>
      <w:tblStyleRowBandSize w:val="1"/>
      <w:tblStyleColBandSize w:val="1"/>
      <w:tblBorders>
        <w:top w:val="single" w:sz="8" w:space="0" w:color="00353E" w:themeColor="accent2"/>
        <w:left w:val="single" w:sz="8" w:space="0" w:color="00353E" w:themeColor="accent2"/>
        <w:bottom w:val="single" w:sz="8" w:space="0" w:color="00353E" w:themeColor="accent2"/>
        <w:right w:val="single" w:sz="8" w:space="0" w:color="00353E" w:themeColor="accent2"/>
        <w:insideH w:val="single" w:sz="8" w:space="0" w:color="00353E" w:themeColor="accent2"/>
        <w:insideV w:val="single" w:sz="8" w:space="0" w:color="00353E"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53E" w:themeColor="accent2"/>
          <w:left w:val="single" w:sz="8" w:space="0" w:color="00353E" w:themeColor="accent2"/>
          <w:bottom w:val="single" w:sz="18" w:space="0" w:color="00353E" w:themeColor="accent2"/>
          <w:right w:val="single" w:sz="8" w:space="0" w:color="00353E" w:themeColor="accent2"/>
          <w:insideH w:val="nil"/>
          <w:insideV w:val="single" w:sz="8" w:space="0" w:color="00353E"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53E" w:themeColor="accent2"/>
          <w:left w:val="single" w:sz="8" w:space="0" w:color="00353E" w:themeColor="accent2"/>
          <w:bottom w:val="single" w:sz="8" w:space="0" w:color="00353E" w:themeColor="accent2"/>
          <w:right w:val="single" w:sz="8" w:space="0" w:color="00353E" w:themeColor="accent2"/>
          <w:insideH w:val="nil"/>
          <w:insideV w:val="single" w:sz="8" w:space="0" w:color="00353E"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53E" w:themeColor="accent2"/>
          <w:left w:val="single" w:sz="8" w:space="0" w:color="00353E" w:themeColor="accent2"/>
          <w:bottom w:val="single" w:sz="8" w:space="0" w:color="00353E" w:themeColor="accent2"/>
          <w:right w:val="single" w:sz="8" w:space="0" w:color="00353E" w:themeColor="accent2"/>
        </w:tcBorders>
      </w:tcPr>
    </w:tblStylePr>
    <w:tblStylePr w:type="band1Vert">
      <w:tblPr/>
      <w:tcPr>
        <w:tcBorders>
          <w:top w:val="single" w:sz="8" w:space="0" w:color="00353E" w:themeColor="accent2"/>
          <w:left w:val="single" w:sz="8" w:space="0" w:color="00353E" w:themeColor="accent2"/>
          <w:bottom w:val="single" w:sz="8" w:space="0" w:color="00353E" w:themeColor="accent2"/>
          <w:right w:val="single" w:sz="8" w:space="0" w:color="00353E" w:themeColor="accent2"/>
        </w:tcBorders>
        <w:shd w:val="clear" w:color="auto" w:fill="90EEFF" w:themeFill="accent2" w:themeFillTint="3F"/>
      </w:tcPr>
    </w:tblStylePr>
    <w:tblStylePr w:type="band1Horz">
      <w:tblPr/>
      <w:tcPr>
        <w:tcBorders>
          <w:top w:val="single" w:sz="8" w:space="0" w:color="00353E" w:themeColor="accent2"/>
          <w:left w:val="single" w:sz="8" w:space="0" w:color="00353E" w:themeColor="accent2"/>
          <w:bottom w:val="single" w:sz="8" w:space="0" w:color="00353E" w:themeColor="accent2"/>
          <w:right w:val="single" w:sz="8" w:space="0" w:color="00353E" w:themeColor="accent2"/>
          <w:insideV w:val="single" w:sz="8" w:space="0" w:color="00353E" w:themeColor="accent2"/>
        </w:tcBorders>
        <w:shd w:val="clear" w:color="auto" w:fill="90EEFF" w:themeFill="accent2" w:themeFillTint="3F"/>
      </w:tcPr>
    </w:tblStylePr>
    <w:tblStylePr w:type="band2Horz">
      <w:tblPr/>
      <w:tcPr>
        <w:tcBorders>
          <w:top w:val="single" w:sz="8" w:space="0" w:color="00353E" w:themeColor="accent2"/>
          <w:left w:val="single" w:sz="8" w:space="0" w:color="00353E" w:themeColor="accent2"/>
          <w:bottom w:val="single" w:sz="8" w:space="0" w:color="00353E" w:themeColor="accent2"/>
          <w:right w:val="single" w:sz="8" w:space="0" w:color="00353E" w:themeColor="accent2"/>
          <w:insideV w:val="single" w:sz="8" w:space="0" w:color="00353E" w:themeColor="accent2"/>
        </w:tcBorders>
      </w:tcPr>
    </w:tblStylePr>
  </w:style>
  <w:style w:type="table" w:styleId="LightGrid-Accent3">
    <w:name w:val="Light Grid Accent 3"/>
    <w:basedOn w:val="TableNormal"/>
    <w:uiPriority w:val="62"/>
    <w:semiHidden/>
    <w:unhideWhenUsed/>
    <w:rsid w:val="009E6ED7"/>
    <w:tblPr>
      <w:tblStyleRowBandSize w:val="1"/>
      <w:tblStyleColBandSize w:val="1"/>
      <w:tblBorders>
        <w:top w:val="single" w:sz="8" w:space="0" w:color="AECC53" w:themeColor="accent3"/>
        <w:left w:val="single" w:sz="8" w:space="0" w:color="AECC53" w:themeColor="accent3"/>
        <w:bottom w:val="single" w:sz="8" w:space="0" w:color="AECC53" w:themeColor="accent3"/>
        <w:right w:val="single" w:sz="8" w:space="0" w:color="AECC53" w:themeColor="accent3"/>
        <w:insideH w:val="single" w:sz="8" w:space="0" w:color="AECC53" w:themeColor="accent3"/>
        <w:insideV w:val="single" w:sz="8" w:space="0" w:color="AECC5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ECC53" w:themeColor="accent3"/>
          <w:left w:val="single" w:sz="8" w:space="0" w:color="AECC53" w:themeColor="accent3"/>
          <w:bottom w:val="single" w:sz="18" w:space="0" w:color="AECC53" w:themeColor="accent3"/>
          <w:right w:val="single" w:sz="8" w:space="0" w:color="AECC53" w:themeColor="accent3"/>
          <w:insideH w:val="nil"/>
          <w:insideV w:val="single" w:sz="8" w:space="0" w:color="AECC5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ECC53" w:themeColor="accent3"/>
          <w:left w:val="single" w:sz="8" w:space="0" w:color="AECC53" w:themeColor="accent3"/>
          <w:bottom w:val="single" w:sz="8" w:space="0" w:color="AECC53" w:themeColor="accent3"/>
          <w:right w:val="single" w:sz="8" w:space="0" w:color="AECC53" w:themeColor="accent3"/>
          <w:insideH w:val="nil"/>
          <w:insideV w:val="single" w:sz="8" w:space="0" w:color="AECC5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ECC53" w:themeColor="accent3"/>
          <w:left w:val="single" w:sz="8" w:space="0" w:color="AECC53" w:themeColor="accent3"/>
          <w:bottom w:val="single" w:sz="8" w:space="0" w:color="AECC53" w:themeColor="accent3"/>
          <w:right w:val="single" w:sz="8" w:space="0" w:color="AECC53" w:themeColor="accent3"/>
        </w:tcBorders>
      </w:tcPr>
    </w:tblStylePr>
    <w:tblStylePr w:type="band1Vert">
      <w:tblPr/>
      <w:tcPr>
        <w:tcBorders>
          <w:top w:val="single" w:sz="8" w:space="0" w:color="AECC53" w:themeColor="accent3"/>
          <w:left w:val="single" w:sz="8" w:space="0" w:color="AECC53" w:themeColor="accent3"/>
          <w:bottom w:val="single" w:sz="8" w:space="0" w:color="AECC53" w:themeColor="accent3"/>
          <w:right w:val="single" w:sz="8" w:space="0" w:color="AECC53" w:themeColor="accent3"/>
        </w:tcBorders>
        <w:shd w:val="clear" w:color="auto" w:fill="EAF2D4" w:themeFill="accent3" w:themeFillTint="3F"/>
      </w:tcPr>
    </w:tblStylePr>
    <w:tblStylePr w:type="band1Horz">
      <w:tblPr/>
      <w:tcPr>
        <w:tcBorders>
          <w:top w:val="single" w:sz="8" w:space="0" w:color="AECC53" w:themeColor="accent3"/>
          <w:left w:val="single" w:sz="8" w:space="0" w:color="AECC53" w:themeColor="accent3"/>
          <w:bottom w:val="single" w:sz="8" w:space="0" w:color="AECC53" w:themeColor="accent3"/>
          <w:right w:val="single" w:sz="8" w:space="0" w:color="AECC53" w:themeColor="accent3"/>
          <w:insideV w:val="single" w:sz="8" w:space="0" w:color="AECC53" w:themeColor="accent3"/>
        </w:tcBorders>
        <w:shd w:val="clear" w:color="auto" w:fill="EAF2D4" w:themeFill="accent3" w:themeFillTint="3F"/>
      </w:tcPr>
    </w:tblStylePr>
    <w:tblStylePr w:type="band2Horz">
      <w:tblPr/>
      <w:tcPr>
        <w:tcBorders>
          <w:top w:val="single" w:sz="8" w:space="0" w:color="AECC53" w:themeColor="accent3"/>
          <w:left w:val="single" w:sz="8" w:space="0" w:color="AECC53" w:themeColor="accent3"/>
          <w:bottom w:val="single" w:sz="8" w:space="0" w:color="AECC53" w:themeColor="accent3"/>
          <w:right w:val="single" w:sz="8" w:space="0" w:color="AECC53" w:themeColor="accent3"/>
          <w:insideV w:val="single" w:sz="8" w:space="0" w:color="AECC53" w:themeColor="accent3"/>
        </w:tcBorders>
      </w:tcPr>
    </w:tblStylePr>
  </w:style>
  <w:style w:type="table" w:styleId="LightGrid-Accent4">
    <w:name w:val="Light Grid Accent 4"/>
    <w:basedOn w:val="TableNormal"/>
    <w:uiPriority w:val="62"/>
    <w:semiHidden/>
    <w:unhideWhenUsed/>
    <w:rsid w:val="009E6ED7"/>
    <w:tblPr>
      <w:tblStyleRowBandSize w:val="1"/>
      <w:tblStyleColBandSize w:val="1"/>
      <w:tblBorders>
        <w:top w:val="single" w:sz="8" w:space="0" w:color="E52713" w:themeColor="accent4"/>
        <w:left w:val="single" w:sz="8" w:space="0" w:color="E52713" w:themeColor="accent4"/>
        <w:bottom w:val="single" w:sz="8" w:space="0" w:color="E52713" w:themeColor="accent4"/>
        <w:right w:val="single" w:sz="8" w:space="0" w:color="E52713" w:themeColor="accent4"/>
        <w:insideH w:val="single" w:sz="8" w:space="0" w:color="E52713" w:themeColor="accent4"/>
        <w:insideV w:val="single" w:sz="8" w:space="0" w:color="E5271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52713" w:themeColor="accent4"/>
          <w:left w:val="single" w:sz="8" w:space="0" w:color="E52713" w:themeColor="accent4"/>
          <w:bottom w:val="single" w:sz="18" w:space="0" w:color="E52713" w:themeColor="accent4"/>
          <w:right w:val="single" w:sz="8" w:space="0" w:color="E52713" w:themeColor="accent4"/>
          <w:insideH w:val="nil"/>
          <w:insideV w:val="single" w:sz="8" w:space="0" w:color="E5271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52713" w:themeColor="accent4"/>
          <w:left w:val="single" w:sz="8" w:space="0" w:color="E52713" w:themeColor="accent4"/>
          <w:bottom w:val="single" w:sz="8" w:space="0" w:color="E52713" w:themeColor="accent4"/>
          <w:right w:val="single" w:sz="8" w:space="0" w:color="E52713" w:themeColor="accent4"/>
          <w:insideH w:val="nil"/>
          <w:insideV w:val="single" w:sz="8" w:space="0" w:color="E5271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52713" w:themeColor="accent4"/>
          <w:left w:val="single" w:sz="8" w:space="0" w:color="E52713" w:themeColor="accent4"/>
          <w:bottom w:val="single" w:sz="8" w:space="0" w:color="E52713" w:themeColor="accent4"/>
          <w:right w:val="single" w:sz="8" w:space="0" w:color="E52713" w:themeColor="accent4"/>
        </w:tcBorders>
      </w:tcPr>
    </w:tblStylePr>
    <w:tblStylePr w:type="band1Vert">
      <w:tblPr/>
      <w:tcPr>
        <w:tcBorders>
          <w:top w:val="single" w:sz="8" w:space="0" w:color="E52713" w:themeColor="accent4"/>
          <w:left w:val="single" w:sz="8" w:space="0" w:color="E52713" w:themeColor="accent4"/>
          <w:bottom w:val="single" w:sz="8" w:space="0" w:color="E52713" w:themeColor="accent4"/>
          <w:right w:val="single" w:sz="8" w:space="0" w:color="E52713" w:themeColor="accent4"/>
        </w:tcBorders>
        <w:shd w:val="clear" w:color="auto" w:fill="FAC8C2" w:themeFill="accent4" w:themeFillTint="3F"/>
      </w:tcPr>
    </w:tblStylePr>
    <w:tblStylePr w:type="band1Horz">
      <w:tblPr/>
      <w:tcPr>
        <w:tcBorders>
          <w:top w:val="single" w:sz="8" w:space="0" w:color="E52713" w:themeColor="accent4"/>
          <w:left w:val="single" w:sz="8" w:space="0" w:color="E52713" w:themeColor="accent4"/>
          <w:bottom w:val="single" w:sz="8" w:space="0" w:color="E52713" w:themeColor="accent4"/>
          <w:right w:val="single" w:sz="8" w:space="0" w:color="E52713" w:themeColor="accent4"/>
          <w:insideV w:val="single" w:sz="8" w:space="0" w:color="E52713" w:themeColor="accent4"/>
        </w:tcBorders>
        <w:shd w:val="clear" w:color="auto" w:fill="FAC8C2" w:themeFill="accent4" w:themeFillTint="3F"/>
      </w:tcPr>
    </w:tblStylePr>
    <w:tblStylePr w:type="band2Horz">
      <w:tblPr/>
      <w:tcPr>
        <w:tcBorders>
          <w:top w:val="single" w:sz="8" w:space="0" w:color="E52713" w:themeColor="accent4"/>
          <w:left w:val="single" w:sz="8" w:space="0" w:color="E52713" w:themeColor="accent4"/>
          <w:bottom w:val="single" w:sz="8" w:space="0" w:color="E52713" w:themeColor="accent4"/>
          <w:right w:val="single" w:sz="8" w:space="0" w:color="E52713" w:themeColor="accent4"/>
          <w:insideV w:val="single" w:sz="8" w:space="0" w:color="E52713" w:themeColor="accent4"/>
        </w:tcBorders>
      </w:tcPr>
    </w:tblStylePr>
  </w:style>
  <w:style w:type="table" w:styleId="LightGrid-Accent5">
    <w:name w:val="Light Grid Accent 5"/>
    <w:basedOn w:val="TableNormal"/>
    <w:uiPriority w:val="62"/>
    <w:semiHidden/>
    <w:unhideWhenUsed/>
    <w:rsid w:val="009E6ED7"/>
    <w:tblPr>
      <w:tblStyleRowBandSize w:val="1"/>
      <w:tblStyleColBandSize w:val="1"/>
      <w:tblBorders>
        <w:top w:val="single" w:sz="8" w:space="0" w:color="009A9B" w:themeColor="accent5"/>
        <w:left w:val="single" w:sz="8" w:space="0" w:color="009A9B" w:themeColor="accent5"/>
        <w:bottom w:val="single" w:sz="8" w:space="0" w:color="009A9B" w:themeColor="accent5"/>
        <w:right w:val="single" w:sz="8" w:space="0" w:color="009A9B" w:themeColor="accent5"/>
        <w:insideH w:val="single" w:sz="8" w:space="0" w:color="009A9B" w:themeColor="accent5"/>
        <w:insideV w:val="single" w:sz="8" w:space="0" w:color="009A9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A9B" w:themeColor="accent5"/>
          <w:left w:val="single" w:sz="8" w:space="0" w:color="009A9B" w:themeColor="accent5"/>
          <w:bottom w:val="single" w:sz="18" w:space="0" w:color="009A9B" w:themeColor="accent5"/>
          <w:right w:val="single" w:sz="8" w:space="0" w:color="009A9B" w:themeColor="accent5"/>
          <w:insideH w:val="nil"/>
          <w:insideV w:val="single" w:sz="8" w:space="0" w:color="009A9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A9B" w:themeColor="accent5"/>
          <w:left w:val="single" w:sz="8" w:space="0" w:color="009A9B" w:themeColor="accent5"/>
          <w:bottom w:val="single" w:sz="8" w:space="0" w:color="009A9B" w:themeColor="accent5"/>
          <w:right w:val="single" w:sz="8" w:space="0" w:color="009A9B" w:themeColor="accent5"/>
          <w:insideH w:val="nil"/>
          <w:insideV w:val="single" w:sz="8" w:space="0" w:color="009A9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A9B" w:themeColor="accent5"/>
          <w:left w:val="single" w:sz="8" w:space="0" w:color="009A9B" w:themeColor="accent5"/>
          <w:bottom w:val="single" w:sz="8" w:space="0" w:color="009A9B" w:themeColor="accent5"/>
          <w:right w:val="single" w:sz="8" w:space="0" w:color="009A9B" w:themeColor="accent5"/>
        </w:tcBorders>
      </w:tcPr>
    </w:tblStylePr>
    <w:tblStylePr w:type="band1Vert">
      <w:tblPr/>
      <w:tcPr>
        <w:tcBorders>
          <w:top w:val="single" w:sz="8" w:space="0" w:color="009A9B" w:themeColor="accent5"/>
          <w:left w:val="single" w:sz="8" w:space="0" w:color="009A9B" w:themeColor="accent5"/>
          <w:bottom w:val="single" w:sz="8" w:space="0" w:color="009A9B" w:themeColor="accent5"/>
          <w:right w:val="single" w:sz="8" w:space="0" w:color="009A9B" w:themeColor="accent5"/>
        </w:tcBorders>
        <w:shd w:val="clear" w:color="auto" w:fill="A7FEFF" w:themeFill="accent5" w:themeFillTint="3F"/>
      </w:tcPr>
    </w:tblStylePr>
    <w:tblStylePr w:type="band1Horz">
      <w:tblPr/>
      <w:tcPr>
        <w:tcBorders>
          <w:top w:val="single" w:sz="8" w:space="0" w:color="009A9B" w:themeColor="accent5"/>
          <w:left w:val="single" w:sz="8" w:space="0" w:color="009A9B" w:themeColor="accent5"/>
          <w:bottom w:val="single" w:sz="8" w:space="0" w:color="009A9B" w:themeColor="accent5"/>
          <w:right w:val="single" w:sz="8" w:space="0" w:color="009A9B" w:themeColor="accent5"/>
          <w:insideV w:val="single" w:sz="8" w:space="0" w:color="009A9B" w:themeColor="accent5"/>
        </w:tcBorders>
        <w:shd w:val="clear" w:color="auto" w:fill="A7FEFF" w:themeFill="accent5" w:themeFillTint="3F"/>
      </w:tcPr>
    </w:tblStylePr>
    <w:tblStylePr w:type="band2Horz">
      <w:tblPr/>
      <w:tcPr>
        <w:tcBorders>
          <w:top w:val="single" w:sz="8" w:space="0" w:color="009A9B" w:themeColor="accent5"/>
          <w:left w:val="single" w:sz="8" w:space="0" w:color="009A9B" w:themeColor="accent5"/>
          <w:bottom w:val="single" w:sz="8" w:space="0" w:color="009A9B" w:themeColor="accent5"/>
          <w:right w:val="single" w:sz="8" w:space="0" w:color="009A9B" w:themeColor="accent5"/>
          <w:insideV w:val="single" w:sz="8" w:space="0" w:color="009A9B" w:themeColor="accent5"/>
        </w:tcBorders>
      </w:tcPr>
    </w:tblStylePr>
  </w:style>
  <w:style w:type="table" w:styleId="LightGrid-Accent6">
    <w:name w:val="Light Grid Accent 6"/>
    <w:basedOn w:val="TableNormal"/>
    <w:uiPriority w:val="62"/>
    <w:semiHidden/>
    <w:unhideWhenUsed/>
    <w:rsid w:val="009E6ED7"/>
    <w:tblPr>
      <w:tblStyleRowBandSize w:val="1"/>
      <w:tblStyleColBandSize w:val="1"/>
      <w:tblBorders>
        <w:top w:val="single" w:sz="8" w:space="0" w:color="FFCE00" w:themeColor="accent6"/>
        <w:left w:val="single" w:sz="8" w:space="0" w:color="FFCE00" w:themeColor="accent6"/>
        <w:bottom w:val="single" w:sz="8" w:space="0" w:color="FFCE00" w:themeColor="accent6"/>
        <w:right w:val="single" w:sz="8" w:space="0" w:color="FFCE00" w:themeColor="accent6"/>
        <w:insideH w:val="single" w:sz="8" w:space="0" w:color="FFCE00" w:themeColor="accent6"/>
        <w:insideV w:val="single" w:sz="8" w:space="0" w:color="FFCE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E00" w:themeColor="accent6"/>
          <w:left w:val="single" w:sz="8" w:space="0" w:color="FFCE00" w:themeColor="accent6"/>
          <w:bottom w:val="single" w:sz="18" w:space="0" w:color="FFCE00" w:themeColor="accent6"/>
          <w:right w:val="single" w:sz="8" w:space="0" w:color="FFCE00" w:themeColor="accent6"/>
          <w:insideH w:val="nil"/>
          <w:insideV w:val="single" w:sz="8" w:space="0" w:color="FFCE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E00" w:themeColor="accent6"/>
          <w:left w:val="single" w:sz="8" w:space="0" w:color="FFCE00" w:themeColor="accent6"/>
          <w:bottom w:val="single" w:sz="8" w:space="0" w:color="FFCE00" w:themeColor="accent6"/>
          <w:right w:val="single" w:sz="8" w:space="0" w:color="FFCE00" w:themeColor="accent6"/>
          <w:insideH w:val="nil"/>
          <w:insideV w:val="single" w:sz="8" w:space="0" w:color="FFCE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E00" w:themeColor="accent6"/>
          <w:left w:val="single" w:sz="8" w:space="0" w:color="FFCE00" w:themeColor="accent6"/>
          <w:bottom w:val="single" w:sz="8" w:space="0" w:color="FFCE00" w:themeColor="accent6"/>
          <w:right w:val="single" w:sz="8" w:space="0" w:color="FFCE00" w:themeColor="accent6"/>
        </w:tcBorders>
      </w:tcPr>
    </w:tblStylePr>
    <w:tblStylePr w:type="band1Vert">
      <w:tblPr/>
      <w:tcPr>
        <w:tcBorders>
          <w:top w:val="single" w:sz="8" w:space="0" w:color="FFCE00" w:themeColor="accent6"/>
          <w:left w:val="single" w:sz="8" w:space="0" w:color="FFCE00" w:themeColor="accent6"/>
          <w:bottom w:val="single" w:sz="8" w:space="0" w:color="FFCE00" w:themeColor="accent6"/>
          <w:right w:val="single" w:sz="8" w:space="0" w:color="FFCE00" w:themeColor="accent6"/>
        </w:tcBorders>
        <w:shd w:val="clear" w:color="auto" w:fill="FFF2C0" w:themeFill="accent6" w:themeFillTint="3F"/>
      </w:tcPr>
    </w:tblStylePr>
    <w:tblStylePr w:type="band1Horz">
      <w:tblPr/>
      <w:tcPr>
        <w:tcBorders>
          <w:top w:val="single" w:sz="8" w:space="0" w:color="FFCE00" w:themeColor="accent6"/>
          <w:left w:val="single" w:sz="8" w:space="0" w:color="FFCE00" w:themeColor="accent6"/>
          <w:bottom w:val="single" w:sz="8" w:space="0" w:color="FFCE00" w:themeColor="accent6"/>
          <w:right w:val="single" w:sz="8" w:space="0" w:color="FFCE00" w:themeColor="accent6"/>
          <w:insideV w:val="single" w:sz="8" w:space="0" w:color="FFCE00" w:themeColor="accent6"/>
        </w:tcBorders>
        <w:shd w:val="clear" w:color="auto" w:fill="FFF2C0" w:themeFill="accent6" w:themeFillTint="3F"/>
      </w:tcPr>
    </w:tblStylePr>
    <w:tblStylePr w:type="band2Horz">
      <w:tblPr/>
      <w:tcPr>
        <w:tcBorders>
          <w:top w:val="single" w:sz="8" w:space="0" w:color="FFCE00" w:themeColor="accent6"/>
          <w:left w:val="single" w:sz="8" w:space="0" w:color="FFCE00" w:themeColor="accent6"/>
          <w:bottom w:val="single" w:sz="8" w:space="0" w:color="FFCE00" w:themeColor="accent6"/>
          <w:right w:val="single" w:sz="8" w:space="0" w:color="FFCE00" w:themeColor="accent6"/>
          <w:insideV w:val="single" w:sz="8" w:space="0" w:color="FFCE00" w:themeColor="accent6"/>
        </w:tcBorders>
      </w:tcPr>
    </w:tblStylePr>
  </w:style>
  <w:style w:type="table" w:styleId="LightList">
    <w:name w:val="Light List"/>
    <w:basedOn w:val="TableNormal"/>
    <w:uiPriority w:val="61"/>
    <w:semiHidden/>
    <w:unhideWhenUsed/>
    <w:rsid w:val="009E6ED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9E6ED7"/>
    <w:tblPr>
      <w:tblStyleRowBandSize w:val="1"/>
      <w:tblStyleColBandSize w:val="1"/>
      <w:tblBorders>
        <w:top w:val="single" w:sz="8" w:space="0" w:color="008768" w:themeColor="accent1"/>
        <w:left w:val="single" w:sz="8" w:space="0" w:color="008768" w:themeColor="accent1"/>
        <w:bottom w:val="single" w:sz="8" w:space="0" w:color="008768" w:themeColor="accent1"/>
        <w:right w:val="single" w:sz="8" w:space="0" w:color="008768" w:themeColor="accent1"/>
      </w:tblBorders>
    </w:tblPr>
    <w:tblStylePr w:type="firstRow">
      <w:pPr>
        <w:spacing w:before="0" w:after="0" w:line="240" w:lineRule="auto"/>
      </w:pPr>
      <w:rPr>
        <w:b/>
        <w:bCs/>
        <w:color w:val="FFFFFF" w:themeColor="background1"/>
      </w:rPr>
      <w:tblPr/>
      <w:tcPr>
        <w:shd w:val="clear" w:color="auto" w:fill="008768" w:themeFill="accent1"/>
      </w:tcPr>
    </w:tblStylePr>
    <w:tblStylePr w:type="lastRow">
      <w:pPr>
        <w:spacing w:before="0" w:after="0" w:line="240" w:lineRule="auto"/>
      </w:pPr>
      <w:rPr>
        <w:b/>
        <w:bCs/>
      </w:rPr>
      <w:tblPr/>
      <w:tcPr>
        <w:tcBorders>
          <w:top w:val="double" w:sz="6" w:space="0" w:color="008768" w:themeColor="accent1"/>
          <w:left w:val="single" w:sz="8" w:space="0" w:color="008768" w:themeColor="accent1"/>
          <w:bottom w:val="single" w:sz="8" w:space="0" w:color="008768" w:themeColor="accent1"/>
          <w:right w:val="single" w:sz="8" w:space="0" w:color="008768" w:themeColor="accent1"/>
        </w:tcBorders>
      </w:tcPr>
    </w:tblStylePr>
    <w:tblStylePr w:type="firstCol">
      <w:rPr>
        <w:b/>
        <w:bCs/>
      </w:rPr>
    </w:tblStylePr>
    <w:tblStylePr w:type="lastCol">
      <w:rPr>
        <w:b/>
        <w:bCs/>
      </w:rPr>
    </w:tblStylePr>
    <w:tblStylePr w:type="band1Vert">
      <w:tblPr/>
      <w:tcPr>
        <w:tcBorders>
          <w:top w:val="single" w:sz="8" w:space="0" w:color="008768" w:themeColor="accent1"/>
          <w:left w:val="single" w:sz="8" w:space="0" w:color="008768" w:themeColor="accent1"/>
          <w:bottom w:val="single" w:sz="8" w:space="0" w:color="008768" w:themeColor="accent1"/>
          <w:right w:val="single" w:sz="8" w:space="0" w:color="008768" w:themeColor="accent1"/>
        </w:tcBorders>
      </w:tcPr>
    </w:tblStylePr>
    <w:tblStylePr w:type="band1Horz">
      <w:tblPr/>
      <w:tcPr>
        <w:tcBorders>
          <w:top w:val="single" w:sz="8" w:space="0" w:color="008768" w:themeColor="accent1"/>
          <w:left w:val="single" w:sz="8" w:space="0" w:color="008768" w:themeColor="accent1"/>
          <w:bottom w:val="single" w:sz="8" w:space="0" w:color="008768" w:themeColor="accent1"/>
          <w:right w:val="single" w:sz="8" w:space="0" w:color="008768" w:themeColor="accent1"/>
        </w:tcBorders>
      </w:tcPr>
    </w:tblStylePr>
  </w:style>
  <w:style w:type="table" w:styleId="LightList-Accent2">
    <w:name w:val="Light List Accent 2"/>
    <w:basedOn w:val="TableNormal"/>
    <w:uiPriority w:val="61"/>
    <w:semiHidden/>
    <w:unhideWhenUsed/>
    <w:rsid w:val="009E6ED7"/>
    <w:tblPr>
      <w:tblStyleRowBandSize w:val="1"/>
      <w:tblStyleColBandSize w:val="1"/>
      <w:tblBorders>
        <w:top w:val="single" w:sz="8" w:space="0" w:color="00353E" w:themeColor="accent2"/>
        <w:left w:val="single" w:sz="8" w:space="0" w:color="00353E" w:themeColor="accent2"/>
        <w:bottom w:val="single" w:sz="8" w:space="0" w:color="00353E" w:themeColor="accent2"/>
        <w:right w:val="single" w:sz="8" w:space="0" w:color="00353E" w:themeColor="accent2"/>
      </w:tblBorders>
    </w:tblPr>
    <w:tblStylePr w:type="firstRow">
      <w:pPr>
        <w:spacing w:before="0" w:after="0" w:line="240" w:lineRule="auto"/>
      </w:pPr>
      <w:rPr>
        <w:b/>
        <w:bCs/>
        <w:color w:val="FFFFFF" w:themeColor="background1"/>
      </w:rPr>
      <w:tblPr/>
      <w:tcPr>
        <w:shd w:val="clear" w:color="auto" w:fill="00353E" w:themeFill="accent2"/>
      </w:tcPr>
    </w:tblStylePr>
    <w:tblStylePr w:type="lastRow">
      <w:pPr>
        <w:spacing w:before="0" w:after="0" w:line="240" w:lineRule="auto"/>
      </w:pPr>
      <w:rPr>
        <w:b/>
        <w:bCs/>
      </w:rPr>
      <w:tblPr/>
      <w:tcPr>
        <w:tcBorders>
          <w:top w:val="double" w:sz="6" w:space="0" w:color="00353E" w:themeColor="accent2"/>
          <w:left w:val="single" w:sz="8" w:space="0" w:color="00353E" w:themeColor="accent2"/>
          <w:bottom w:val="single" w:sz="8" w:space="0" w:color="00353E" w:themeColor="accent2"/>
          <w:right w:val="single" w:sz="8" w:space="0" w:color="00353E" w:themeColor="accent2"/>
        </w:tcBorders>
      </w:tcPr>
    </w:tblStylePr>
    <w:tblStylePr w:type="firstCol">
      <w:rPr>
        <w:b/>
        <w:bCs/>
      </w:rPr>
    </w:tblStylePr>
    <w:tblStylePr w:type="lastCol">
      <w:rPr>
        <w:b/>
        <w:bCs/>
      </w:rPr>
    </w:tblStylePr>
    <w:tblStylePr w:type="band1Vert">
      <w:tblPr/>
      <w:tcPr>
        <w:tcBorders>
          <w:top w:val="single" w:sz="8" w:space="0" w:color="00353E" w:themeColor="accent2"/>
          <w:left w:val="single" w:sz="8" w:space="0" w:color="00353E" w:themeColor="accent2"/>
          <w:bottom w:val="single" w:sz="8" w:space="0" w:color="00353E" w:themeColor="accent2"/>
          <w:right w:val="single" w:sz="8" w:space="0" w:color="00353E" w:themeColor="accent2"/>
        </w:tcBorders>
      </w:tcPr>
    </w:tblStylePr>
    <w:tblStylePr w:type="band1Horz">
      <w:tblPr/>
      <w:tcPr>
        <w:tcBorders>
          <w:top w:val="single" w:sz="8" w:space="0" w:color="00353E" w:themeColor="accent2"/>
          <w:left w:val="single" w:sz="8" w:space="0" w:color="00353E" w:themeColor="accent2"/>
          <w:bottom w:val="single" w:sz="8" w:space="0" w:color="00353E" w:themeColor="accent2"/>
          <w:right w:val="single" w:sz="8" w:space="0" w:color="00353E" w:themeColor="accent2"/>
        </w:tcBorders>
      </w:tcPr>
    </w:tblStylePr>
  </w:style>
  <w:style w:type="table" w:styleId="LightList-Accent3">
    <w:name w:val="Light List Accent 3"/>
    <w:basedOn w:val="TableNormal"/>
    <w:uiPriority w:val="61"/>
    <w:semiHidden/>
    <w:unhideWhenUsed/>
    <w:rsid w:val="009E6ED7"/>
    <w:tblPr>
      <w:tblStyleRowBandSize w:val="1"/>
      <w:tblStyleColBandSize w:val="1"/>
      <w:tblBorders>
        <w:top w:val="single" w:sz="8" w:space="0" w:color="AECC53" w:themeColor="accent3"/>
        <w:left w:val="single" w:sz="8" w:space="0" w:color="AECC53" w:themeColor="accent3"/>
        <w:bottom w:val="single" w:sz="8" w:space="0" w:color="AECC53" w:themeColor="accent3"/>
        <w:right w:val="single" w:sz="8" w:space="0" w:color="AECC53" w:themeColor="accent3"/>
      </w:tblBorders>
    </w:tblPr>
    <w:tblStylePr w:type="firstRow">
      <w:pPr>
        <w:spacing w:before="0" w:after="0" w:line="240" w:lineRule="auto"/>
      </w:pPr>
      <w:rPr>
        <w:b/>
        <w:bCs/>
        <w:color w:val="FFFFFF" w:themeColor="background1"/>
      </w:rPr>
      <w:tblPr/>
      <w:tcPr>
        <w:shd w:val="clear" w:color="auto" w:fill="AECC53" w:themeFill="accent3"/>
      </w:tcPr>
    </w:tblStylePr>
    <w:tblStylePr w:type="lastRow">
      <w:pPr>
        <w:spacing w:before="0" w:after="0" w:line="240" w:lineRule="auto"/>
      </w:pPr>
      <w:rPr>
        <w:b/>
        <w:bCs/>
      </w:rPr>
      <w:tblPr/>
      <w:tcPr>
        <w:tcBorders>
          <w:top w:val="double" w:sz="6" w:space="0" w:color="AECC53" w:themeColor="accent3"/>
          <w:left w:val="single" w:sz="8" w:space="0" w:color="AECC53" w:themeColor="accent3"/>
          <w:bottom w:val="single" w:sz="8" w:space="0" w:color="AECC53" w:themeColor="accent3"/>
          <w:right w:val="single" w:sz="8" w:space="0" w:color="AECC53" w:themeColor="accent3"/>
        </w:tcBorders>
      </w:tcPr>
    </w:tblStylePr>
    <w:tblStylePr w:type="firstCol">
      <w:rPr>
        <w:b/>
        <w:bCs/>
      </w:rPr>
    </w:tblStylePr>
    <w:tblStylePr w:type="lastCol">
      <w:rPr>
        <w:b/>
        <w:bCs/>
      </w:rPr>
    </w:tblStylePr>
    <w:tblStylePr w:type="band1Vert">
      <w:tblPr/>
      <w:tcPr>
        <w:tcBorders>
          <w:top w:val="single" w:sz="8" w:space="0" w:color="AECC53" w:themeColor="accent3"/>
          <w:left w:val="single" w:sz="8" w:space="0" w:color="AECC53" w:themeColor="accent3"/>
          <w:bottom w:val="single" w:sz="8" w:space="0" w:color="AECC53" w:themeColor="accent3"/>
          <w:right w:val="single" w:sz="8" w:space="0" w:color="AECC53" w:themeColor="accent3"/>
        </w:tcBorders>
      </w:tcPr>
    </w:tblStylePr>
    <w:tblStylePr w:type="band1Horz">
      <w:tblPr/>
      <w:tcPr>
        <w:tcBorders>
          <w:top w:val="single" w:sz="8" w:space="0" w:color="AECC53" w:themeColor="accent3"/>
          <w:left w:val="single" w:sz="8" w:space="0" w:color="AECC53" w:themeColor="accent3"/>
          <w:bottom w:val="single" w:sz="8" w:space="0" w:color="AECC53" w:themeColor="accent3"/>
          <w:right w:val="single" w:sz="8" w:space="0" w:color="AECC53" w:themeColor="accent3"/>
        </w:tcBorders>
      </w:tcPr>
    </w:tblStylePr>
  </w:style>
  <w:style w:type="table" w:styleId="LightList-Accent4">
    <w:name w:val="Light List Accent 4"/>
    <w:basedOn w:val="TableNormal"/>
    <w:uiPriority w:val="61"/>
    <w:semiHidden/>
    <w:unhideWhenUsed/>
    <w:rsid w:val="009E6ED7"/>
    <w:tblPr>
      <w:tblStyleRowBandSize w:val="1"/>
      <w:tblStyleColBandSize w:val="1"/>
      <w:tblBorders>
        <w:top w:val="single" w:sz="8" w:space="0" w:color="E52713" w:themeColor="accent4"/>
        <w:left w:val="single" w:sz="8" w:space="0" w:color="E52713" w:themeColor="accent4"/>
        <w:bottom w:val="single" w:sz="8" w:space="0" w:color="E52713" w:themeColor="accent4"/>
        <w:right w:val="single" w:sz="8" w:space="0" w:color="E52713" w:themeColor="accent4"/>
      </w:tblBorders>
    </w:tblPr>
    <w:tblStylePr w:type="firstRow">
      <w:pPr>
        <w:spacing w:before="0" w:after="0" w:line="240" w:lineRule="auto"/>
      </w:pPr>
      <w:rPr>
        <w:b/>
        <w:bCs/>
        <w:color w:val="FFFFFF" w:themeColor="background1"/>
      </w:rPr>
      <w:tblPr/>
      <w:tcPr>
        <w:shd w:val="clear" w:color="auto" w:fill="E52713" w:themeFill="accent4"/>
      </w:tcPr>
    </w:tblStylePr>
    <w:tblStylePr w:type="lastRow">
      <w:pPr>
        <w:spacing w:before="0" w:after="0" w:line="240" w:lineRule="auto"/>
      </w:pPr>
      <w:rPr>
        <w:b/>
        <w:bCs/>
      </w:rPr>
      <w:tblPr/>
      <w:tcPr>
        <w:tcBorders>
          <w:top w:val="double" w:sz="6" w:space="0" w:color="E52713" w:themeColor="accent4"/>
          <w:left w:val="single" w:sz="8" w:space="0" w:color="E52713" w:themeColor="accent4"/>
          <w:bottom w:val="single" w:sz="8" w:space="0" w:color="E52713" w:themeColor="accent4"/>
          <w:right w:val="single" w:sz="8" w:space="0" w:color="E52713" w:themeColor="accent4"/>
        </w:tcBorders>
      </w:tcPr>
    </w:tblStylePr>
    <w:tblStylePr w:type="firstCol">
      <w:rPr>
        <w:b/>
        <w:bCs/>
      </w:rPr>
    </w:tblStylePr>
    <w:tblStylePr w:type="lastCol">
      <w:rPr>
        <w:b/>
        <w:bCs/>
      </w:rPr>
    </w:tblStylePr>
    <w:tblStylePr w:type="band1Vert">
      <w:tblPr/>
      <w:tcPr>
        <w:tcBorders>
          <w:top w:val="single" w:sz="8" w:space="0" w:color="E52713" w:themeColor="accent4"/>
          <w:left w:val="single" w:sz="8" w:space="0" w:color="E52713" w:themeColor="accent4"/>
          <w:bottom w:val="single" w:sz="8" w:space="0" w:color="E52713" w:themeColor="accent4"/>
          <w:right w:val="single" w:sz="8" w:space="0" w:color="E52713" w:themeColor="accent4"/>
        </w:tcBorders>
      </w:tcPr>
    </w:tblStylePr>
    <w:tblStylePr w:type="band1Horz">
      <w:tblPr/>
      <w:tcPr>
        <w:tcBorders>
          <w:top w:val="single" w:sz="8" w:space="0" w:color="E52713" w:themeColor="accent4"/>
          <w:left w:val="single" w:sz="8" w:space="0" w:color="E52713" w:themeColor="accent4"/>
          <w:bottom w:val="single" w:sz="8" w:space="0" w:color="E52713" w:themeColor="accent4"/>
          <w:right w:val="single" w:sz="8" w:space="0" w:color="E52713" w:themeColor="accent4"/>
        </w:tcBorders>
      </w:tcPr>
    </w:tblStylePr>
  </w:style>
  <w:style w:type="table" w:styleId="LightList-Accent5">
    <w:name w:val="Light List Accent 5"/>
    <w:basedOn w:val="TableNormal"/>
    <w:uiPriority w:val="61"/>
    <w:semiHidden/>
    <w:unhideWhenUsed/>
    <w:rsid w:val="009E6ED7"/>
    <w:tblPr>
      <w:tblStyleRowBandSize w:val="1"/>
      <w:tblStyleColBandSize w:val="1"/>
      <w:tblBorders>
        <w:top w:val="single" w:sz="8" w:space="0" w:color="009A9B" w:themeColor="accent5"/>
        <w:left w:val="single" w:sz="8" w:space="0" w:color="009A9B" w:themeColor="accent5"/>
        <w:bottom w:val="single" w:sz="8" w:space="0" w:color="009A9B" w:themeColor="accent5"/>
        <w:right w:val="single" w:sz="8" w:space="0" w:color="009A9B" w:themeColor="accent5"/>
      </w:tblBorders>
    </w:tblPr>
    <w:tblStylePr w:type="firstRow">
      <w:pPr>
        <w:spacing w:before="0" w:after="0" w:line="240" w:lineRule="auto"/>
      </w:pPr>
      <w:rPr>
        <w:b/>
        <w:bCs/>
        <w:color w:val="FFFFFF" w:themeColor="background1"/>
      </w:rPr>
      <w:tblPr/>
      <w:tcPr>
        <w:shd w:val="clear" w:color="auto" w:fill="009A9B" w:themeFill="accent5"/>
      </w:tcPr>
    </w:tblStylePr>
    <w:tblStylePr w:type="lastRow">
      <w:pPr>
        <w:spacing w:before="0" w:after="0" w:line="240" w:lineRule="auto"/>
      </w:pPr>
      <w:rPr>
        <w:b/>
        <w:bCs/>
      </w:rPr>
      <w:tblPr/>
      <w:tcPr>
        <w:tcBorders>
          <w:top w:val="double" w:sz="6" w:space="0" w:color="009A9B" w:themeColor="accent5"/>
          <w:left w:val="single" w:sz="8" w:space="0" w:color="009A9B" w:themeColor="accent5"/>
          <w:bottom w:val="single" w:sz="8" w:space="0" w:color="009A9B" w:themeColor="accent5"/>
          <w:right w:val="single" w:sz="8" w:space="0" w:color="009A9B" w:themeColor="accent5"/>
        </w:tcBorders>
      </w:tcPr>
    </w:tblStylePr>
    <w:tblStylePr w:type="firstCol">
      <w:rPr>
        <w:b/>
        <w:bCs/>
      </w:rPr>
    </w:tblStylePr>
    <w:tblStylePr w:type="lastCol">
      <w:rPr>
        <w:b/>
        <w:bCs/>
      </w:rPr>
    </w:tblStylePr>
    <w:tblStylePr w:type="band1Vert">
      <w:tblPr/>
      <w:tcPr>
        <w:tcBorders>
          <w:top w:val="single" w:sz="8" w:space="0" w:color="009A9B" w:themeColor="accent5"/>
          <w:left w:val="single" w:sz="8" w:space="0" w:color="009A9B" w:themeColor="accent5"/>
          <w:bottom w:val="single" w:sz="8" w:space="0" w:color="009A9B" w:themeColor="accent5"/>
          <w:right w:val="single" w:sz="8" w:space="0" w:color="009A9B" w:themeColor="accent5"/>
        </w:tcBorders>
      </w:tcPr>
    </w:tblStylePr>
    <w:tblStylePr w:type="band1Horz">
      <w:tblPr/>
      <w:tcPr>
        <w:tcBorders>
          <w:top w:val="single" w:sz="8" w:space="0" w:color="009A9B" w:themeColor="accent5"/>
          <w:left w:val="single" w:sz="8" w:space="0" w:color="009A9B" w:themeColor="accent5"/>
          <w:bottom w:val="single" w:sz="8" w:space="0" w:color="009A9B" w:themeColor="accent5"/>
          <w:right w:val="single" w:sz="8" w:space="0" w:color="009A9B" w:themeColor="accent5"/>
        </w:tcBorders>
      </w:tcPr>
    </w:tblStylePr>
  </w:style>
  <w:style w:type="table" w:styleId="LightList-Accent6">
    <w:name w:val="Light List Accent 6"/>
    <w:basedOn w:val="TableNormal"/>
    <w:uiPriority w:val="61"/>
    <w:semiHidden/>
    <w:unhideWhenUsed/>
    <w:rsid w:val="009E6ED7"/>
    <w:tblPr>
      <w:tblStyleRowBandSize w:val="1"/>
      <w:tblStyleColBandSize w:val="1"/>
      <w:tblBorders>
        <w:top w:val="single" w:sz="8" w:space="0" w:color="FFCE00" w:themeColor="accent6"/>
        <w:left w:val="single" w:sz="8" w:space="0" w:color="FFCE00" w:themeColor="accent6"/>
        <w:bottom w:val="single" w:sz="8" w:space="0" w:color="FFCE00" w:themeColor="accent6"/>
        <w:right w:val="single" w:sz="8" w:space="0" w:color="FFCE00" w:themeColor="accent6"/>
      </w:tblBorders>
    </w:tblPr>
    <w:tblStylePr w:type="firstRow">
      <w:pPr>
        <w:spacing w:before="0" w:after="0" w:line="240" w:lineRule="auto"/>
      </w:pPr>
      <w:rPr>
        <w:b/>
        <w:bCs/>
        <w:color w:val="FFFFFF" w:themeColor="background1"/>
      </w:rPr>
      <w:tblPr/>
      <w:tcPr>
        <w:shd w:val="clear" w:color="auto" w:fill="FFCE00" w:themeFill="accent6"/>
      </w:tcPr>
    </w:tblStylePr>
    <w:tblStylePr w:type="lastRow">
      <w:pPr>
        <w:spacing w:before="0" w:after="0" w:line="240" w:lineRule="auto"/>
      </w:pPr>
      <w:rPr>
        <w:b/>
        <w:bCs/>
      </w:rPr>
      <w:tblPr/>
      <w:tcPr>
        <w:tcBorders>
          <w:top w:val="double" w:sz="6" w:space="0" w:color="FFCE00" w:themeColor="accent6"/>
          <w:left w:val="single" w:sz="8" w:space="0" w:color="FFCE00" w:themeColor="accent6"/>
          <w:bottom w:val="single" w:sz="8" w:space="0" w:color="FFCE00" w:themeColor="accent6"/>
          <w:right w:val="single" w:sz="8" w:space="0" w:color="FFCE00" w:themeColor="accent6"/>
        </w:tcBorders>
      </w:tcPr>
    </w:tblStylePr>
    <w:tblStylePr w:type="firstCol">
      <w:rPr>
        <w:b/>
        <w:bCs/>
      </w:rPr>
    </w:tblStylePr>
    <w:tblStylePr w:type="lastCol">
      <w:rPr>
        <w:b/>
        <w:bCs/>
      </w:rPr>
    </w:tblStylePr>
    <w:tblStylePr w:type="band1Vert">
      <w:tblPr/>
      <w:tcPr>
        <w:tcBorders>
          <w:top w:val="single" w:sz="8" w:space="0" w:color="FFCE00" w:themeColor="accent6"/>
          <w:left w:val="single" w:sz="8" w:space="0" w:color="FFCE00" w:themeColor="accent6"/>
          <w:bottom w:val="single" w:sz="8" w:space="0" w:color="FFCE00" w:themeColor="accent6"/>
          <w:right w:val="single" w:sz="8" w:space="0" w:color="FFCE00" w:themeColor="accent6"/>
        </w:tcBorders>
      </w:tcPr>
    </w:tblStylePr>
    <w:tblStylePr w:type="band1Horz">
      <w:tblPr/>
      <w:tcPr>
        <w:tcBorders>
          <w:top w:val="single" w:sz="8" w:space="0" w:color="FFCE00" w:themeColor="accent6"/>
          <w:left w:val="single" w:sz="8" w:space="0" w:color="FFCE00" w:themeColor="accent6"/>
          <w:bottom w:val="single" w:sz="8" w:space="0" w:color="FFCE00" w:themeColor="accent6"/>
          <w:right w:val="single" w:sz="8" w:space="0" w:color="FFCE00" w:themeColor="accent6"/>
        </w:tcBorders>
      </w:tcPr>
    </w:tblStylePr>
  </w:style>
  <w:style w:type="table" w:styleId="LightShading">
    <w:name w:val="Light Shading"/>
    <w:basedOn w:val="TableNormal"/>
    <w:uiPriority w:val="60"/>
    <w:semiHidden/>
    <w:unhideWhenUsed/>
    <w:rsid w:val="009E6ED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9E6ED7"/>
    <w:rPr>
      <w:color w:val="00654D" w:themeColor="accent1" w:themeShade="BF"/>
    </w:rPr>
    <w:tblPr>
      <w:tblStyleRowBandSize w:val="1"/>
      <w:tblStyleColBandSize w:val="1"/>
      <w:tblBorders>
        <w:top w:val="single" w:sz="8" w:space="0" w:color="008768" w:themeColor="accent1"/>
        <w:bottom w:val="single" w:sz="8" w:space="0" w:color="008768" w:themeColor="accent1"/>
      </w:tblBorders>
    </w:tblPr>
    <w:tblStylePr w:type="firstRow">
      <w:pPr>
        <w:spacing w:before="0" w:after="0" w:line="240" w:lineRule="auto"/>
      </w:pPr>
      <w:rPr>
        <w:b/>
        <w:bCs/>
      </w:rPr>
      <w:tblPr/>
      <w:tcPr>
        <w:tcBorders>
          <w:top w:val="single" w:sz="8" w:space="0" w:color="008768" w:themeColor="accent1"/>
          <w:left w:val="nil"/>
          <w:bottom w:val="single" w:sz="8" w:space="0" w:color="008768" w:themeColor="accent1"/>
          <w:right w:val="nil"/>
          <w:insideH w:val="nil"/>
          <w:insideV w:val="nil"/>
        </w:tcBorders>
      </w:tcPr>
    </w:tblStylePr>
    <w:tblStylePr w:type="lastRow">
      <w:pPr>
        <w:spacing w:before="0" w:after="0" w:line="240" w:lineRule="auto"/>
      </w:pPr>
      <w:rPr>
        <w:b/>
        <w:bCs/>
      </w:rPr>
      <w:tblPr/>
      <w:tcPr>
        <w:tcBorders>
          <w:top w:val="single" w:sz="8" w:space="0" w:color="008768" w:themeColor="accent1"/>
          <w:left w:val="nil"/>
          <w:bottom w:val="single" w:sz="8" w:space="0" w:color="00876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2FFE9" w:themeFill="accent1" w:themeFillTint="3F"/>
      </w:tcPr>
    </w:tblStylePr>
    <w:tblStylePr w:type="band1Horz">
      <w:tblPr/>
      <w:tcPr>
        <w:tcBorders>
          <w:left w:val="nil"/>
          <w:right w:val="nil"/>
          <w:insideH w:val="nil"/>
          <w:insideV w:val="nil"/>
        </w:tcBorders>
        <w:shd w:val="clear" w:color="auto" w:fill="A2FFE9" w:themeFill="accent1" w:themeFillTint="3F"/>
      </w:tcPr>
    </w:tblStylePr>
  </w:style>
  <w:style w:type="table" w:styleId="LightShading-Accent2">
    <w:name w:val="Light Shading Accent 2"/>
    <w:basedOn w:val="TableNormal"/>
    <w:uiPriority w:val="60"/>
    <w:semiHidden/>
    <w:unhideWhenUsed/>
    <w:rsid w:val="009E6ED7"/>
    <w:rPr>
      <w:color w:val="00272E" w:themeColor="accent2" w:themeShade="BF"/>
    </w:rPr>
    <w:tblPr>
      <w:tblStyleRowBandSize w:val="1"/>
      <w:tblStyleColBandSize w:val="1"/>
      <w:tblBorders>
        <w:top w:val="single" w:sz="8" w:space="0" w:color="00353E" w:themeColor="accent2"/>
        <w:bottom w:val="single" w:sz="8" w:space="0" w:color="00353E" w:themeColor="accent2"/>
      </w:tblBorders>
    </w:tblPr>
    <w:tblStylePr w:type="firstRow">
      <w:pPr>
        <w:spacing w:before="0" w:after="0" w:line="240" w:lineRule="auto"/>
      </w:pPr>
      <w:rPr>
        <w:b/>
        <w:bCs/>
      </w:rPr>
      <w:tblPr/>
      <w:tcPr>
        <w:tcBorders>
          <w:top w:val="single" w:sz="8" w:space="0" w:color="00353E" w:themeColor="accent2"/>
          <w:left w:val="nil"/>
          <w:bottom w:val="single" w:sz="8" w:space="0" w:color="00353E" w:themeColor="accent2"/>
          <w:right w:val="nil"/>
          <w:insideH w:val="nil"/>
          <w:insideV w:val="nil"/>
        </w:tcBorders>
      </w:tcPr>
    </w:tblStylePr>
    <w:tblStylePr w:type="lastRow">
      <w:pPr>
        <w:spacing w:before="0" w:after="0" w:line="240" w:lineRule="auto"/>
      </w:pPr>
      <w:rPr>
        <w:b/>
        <w:bCs/>
      </w:rPr>
      <w:tblPr/>
      <w:tcPr>
        <w:tcBorders>
          <w:top w:val="single" w:sz="8" w:space="0" w:color="00353E" w:themeColor="accent2"/>
          <w:left w:val="nil"/>
          <w:bottom w:val="single" w:sz="8" w:space="0" w:color="00353E"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0EEFF" w:themeFill="accent2" w:themeFillTint="3F"/>
      </w:tcPr>
    </w:tblStylePr>
    <w:tblStylePr w:type="band1Horz">
      <w:tblPr/>
      <w:tcPr>
        <w:tcBorders>
          <w:left w:val="nil"/>
          <w:right w:val="nil"/>
          <w:insideH w:val="nil"/>
          <w:insideV w:val="nil"/>
        </w:tcBorders>
        <w:shd w:val="clear" w:color="auto" w:fill="90EEFF" w:themeFill="accent2" w:themeFillTint="3F"/>
      </w:tcPr>
    </w:tblStylePr>
  </w:style>
  <w:style w:type="table" w:styleId="LightShading-Accent3">
    <w:name w:val="Light Shading Accent 3"/>
    <w:basedOn w:val="TableNormal"/>
    <w:uiPriority w:val="60"/>
    <w:semiHidden/>
    <w:unhideWhenUsed/>
    <w:rsid w:val="009E6ED7"/>
    <w:rPr>
      <w:color w:val="88A531" w:themeColor="accent3" w:themeShade="BF"/>
    </w:rPr>
    <w:tblPr>
      <w:tblStyleRowBandSize w:val="1"/>
      <w:tblStyleColBandSize w:val="1"/>
      <w:tblBorders>
        <w:top w:val="single" w:sz="8" w:space="0" w:color="AECC53" w:themeColor="accent3"/>
        <w:bottom w:val="single" w:sz="8" w:space="0" w:color="AECC53" w:themeColor="accent3"/>
      </w:tblBorders>
    </w:tblPr>
    <w:tblStylePr w:type="firstRow">
      <w:pPr>
        <w:spacing w:before="0" w:after="0" w:line="240" w:lineRule="auto"/>
      </w:pPr>
      <w:rPr>
        <w:b/>
        <w:bCs/>
      </w:rPr>
      <w:tblPr/>
      <w:tcPr>
        <w:tcBorders>
          <w:top w:val="single" w:sz="8" w:space="0" w:color="AECC53" w:themeColor="accent3"/>
          <w:left w:val="nil"/>
          <w:bottom w:val="single" w:sz="8" w:space="0" w:color="AECC53" w:themeColor="accent3"/>
          <w:right w:val="nil"/>
          <w:insideH w:val="nil"/>
          <w:insideV w:val="nil"/>
        </w:tcBorders>
      </w:tcPr>
    </w:tblStylePr>
    <w:tblStylePr w:type="lastRow">
      <w:pPr>
        <w:spacing w:before="0" w:after="0" w:line="240" w:lineRule="auto"/>
      </w:pPr>
      <w:rPr>
        <w:b/>
        <w:bCs/>
      </w:rPr>
      <w:tblPr/>
      <w:tcPr>
        <w:tcBorders>
          <w:top w:val="single" w:sz="8" w:space="0" w:color="AECC53" w:themeColor="accent3"/>
          <w:left w:val="nil"/>
          <w:bottom w:val="single" w:sz="8" w:space="0" w:color="AECC5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F2D4" w:themeFill="accent3" w:themeFillTint="3F"/>
      </w:tcPr>
    </w:tblStylePr>
    <w:tblStylePr w:type="band1Horz">
      <w:tblPr/>
      <w:tcPr>
        <w:tcBorders>
          <w:left w:val="nil"/>
          <w:right w:val="nil"/>
          <w:insideH w:val="nil"/>
          <w:insideV w:val="nil"/>
        </w:tcBorders>
        <w:shd w:val="clear" w:color="auto" w:fill="EAF2D4" w:themeFill="accent3" w:themeFillTint="3F"/>
      </w:tcPr>
    </w:tblStylePr>
  </w:style>
  <w:style w:type="table" w:styleId="LightShading-Accent4">
    <w:name w:val="Light Shading Accent 4"/>
    <w:basedOn w:val="TableNormal"/>
    <w:uiPriority w:val="60"/>
    <w:semiHidden/>
    <w:unhideWhenUsed/>
    <w:rsid w:val="009E6ED7"/>
    <w:rPr>
      <w:color w:val="AB1D0E" w:themeColor="accent4" w:themeShade="BF"/>
    </w:rPr>
    <w:tblPr>
      <w:tblStyleRowBandSize w:val="1"/>
      <w:tblStyleColBandSize w:val="1"/>
      <w:tblBorders>
        <w:top w:val="single" w:sz="8" w:space="0" w:color="E52713" w:themeColor="accent4"/>
        <w:bottom w:val="single" w:sz="8" w:space="0" w:color="E52713" w:themeColor="accent4"/>
      </w:tblBorders>
    </w:tblPr>
    <w:tblStylePr w:type="firstRow">
      <w:pPr>
        <w:spacing w:before="0" w:after="0" w:line="240" w:lineRule="auto"/>
      </w:pPr>
      <w:rPr>
        <w:b/>
        <w:bCs/>
      </w:rPr>
      <w:tblPr/>
      <w:tcPr>
        <w:tcBorders>
          <w:top w:val="single" w:sz="8" w:space="0" w:color="E52713" w:themeColor="accent4"/>
          <w:left w:val="nil"/>
          <w:bottom w:val="single" w:sz="8" w:space="0" w:color="E52713" w:themeColor="accent4"/>
          <w:right w:val="nil"/>
          <w:insideH w:val="nil"/>
          <w:insideV w:val="nil"/>
        </w:tcBorders>
      </w:tcPr>
    </w:tblStylePr>
    <w:tblStylePr w:type="lastRow">
      <w:pPr>
        <w:spacing w:before="0" w:after="0" w:line="240" w:lineRule="auto"/>
      </w:pPr>
      <w:rPr>
        <w:b/>
        <w:bCs/>
      </w:rPr>
      <w:tblPr/>
      <w:tcPr>
        <w:tcBorders>
          <w:top w:val="single" w:sz="8" w:space="0" w:color="E52713" w:themeColor="accent4"/>
          <w:left w:val="nil"/>
          <w:bottom w:val="single" w:sz="8" w:space="0" w:color="E5271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C8C2" w:themeFill="accent4" w:themeFillTint="3F"/>
      </w:tcPr>
    </w:tblStylePr>
    <w:tblStylePr w:type="band1Horz">
      <w:tblPr/>
      <w:tcPr>
        <w:tcBorders>
          <w:left w:val="nil"/>
          <w:right w:val="nil"/>
          <w:insideH w:val="nil"/>
          <w:insideV w:val="nil"/>
        </w:tcBorders>
        <w:shd w:val="clear" w:color="auto" w:fill="FAC8C2" w:themeFill="accent4" w:themeFillTint="3F"/>
      </w:tcPr>
    </w:tblStylePr>
  </w:style>
  <w:style w:type="table" w:styleId="LightShading-Accent5">
    <w:name w:val="Light Shading Accent 5"/>
    <w:basedOn w:val="TableNormal"/>
    <w:uiPriority w:val="60"/>
    <w:semiHidden/>
    <w:unhideWhenUsed/>
    <w:rsid w:val="009E6ED7"/>
    <w:rPr>
      <w:color w:val="007374" w:themeColor="accent5" w:themeShade="BF"/>
    </w:rPr>
    <w:tblPr>
      <w:tblStyleRowBandSize w:val="1"/>
      <w:tblStyleColBandSize w:val="1"/>
      <w:tblBorders>
        <w:top w:val="single" w:sz="8" w:space="0" w:color="009A9B" w:themeColor="accent5"/>
        <w:bottom w:val="single" w:sz="8" w:space="0" w:color="009A9B" w:themeColor="accent5"/>
      </w:tblBorders>
    </w:tblPr>
    <w:tblStylePr w:type="firstRow">
      <w:pPr>
        <w:spacing w:before="0" w:after="0" w:line="240" w:lineRule="auto"/>
      </w:pPr>
      <w:rPr>
        <w:b/>
        <w:bCs/>
      </w:rPr>
      <w:tblPr/>
      <w:tcPr>
        <w:tcBorders>
          <w:top w:val="single" w:sz="8" w:space="0" w:color="009A9B" w:themeColor="accent5"/>
          <w:left w:val="nil"/>
          <w:bottom w:val="single" w:sz="8" w:space="0" w:color="009A9B" w:themeColor="accent5"/>
          <w:right w:val="nil"/>
          <w:insideH w:val="nil"/>
          <w:insideV w:val="nil"/>
        </w:tcBorders>
      </w:tcPr>
    </w:tblStylePr>
    <w:tblStylePr w:type="lastRow">
      <w:pPr>
        <w:spacing w:before="0" w:after="0" w:line="240" w:lineRule="auto"/>
      </w:pPr>
      <w:rPr>
        <w:b/>
        <w:bCs/>
      </w:rPr>
      <w:tblPr/>
      <w:tcPr>
        <w:tcBorders>
          <w:top w:val="single" w:sz="8" w:space="0" w:color="009A9B" w:themeColor="accent5"/>
          <w:left w:val="nil"/>
          <w:bottom w:val="single" w:sz="8" w:space="0" w:color="009A9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FEFF" w:themeFill="accent5" w:themeFillTint="3F"/>
      </w:tcPr>
    </w:tblStylePr>
    <w:tblStylePr w:type="band1Horz">
      <w:tblPr/>
      <w:tcPr>
        <w:tcBorders>
          <w:left w:val="nil"/>
          <w:right w:val="nil"/>
          <w:insideH w:val="nil"/>
          <w:insideV w:val="nil"/>
        </w:tcBorders>
        <w:shd w:val="clear" w:color="auto" w:fill="A7FEFF" w:themeFill="accent5" w:themeFillTint="3F"/>
      </w:tcPr>
    </w:tblStylePr>
  </w:style>
  <w:style w:type="table" w:styleId="LightShading-Accent6">
    <w:name w:val="Light Shading Accent 6"/>
    <w:basedOn w:val="TableNormal"/>
    <w:uiPriority w:val="60"/>
    <w:semiHidden/>
    <w:unhideWhenUsed/>
    <w:rsid w:val="009E6ED7"/>
    <w:rPr>
      <w:color w:val="BF9A00" w:themeColor="accent6" w:themeShade="BF"/>
    </w:rPr>
    <w:tblPr>
      <w:tblStyleRowBandSize w:val="1"/>
      <w:tblStyleColBandSize w:val="1"/>
      <w:tblBorders>
        <w:top w:val="single" w:sz="8" w:space="0" w:color="FFCE00" w:themeColor="accent6"/>
        <w:bottom w:val="single" w:sz="8" w:space="0" w:color="FFCE00" w:themeColor="accent6"/>
      </w:tblBorders>
    </w:tblPr>
    <w:tblStylePr w:type="firstRow">
      <w:pPr>
        <w:spacing w:before="0" w:after="0" w:line="240" w:lineRule="auto"/>
      </w:pPr>
      <w:rPr>
        <w:b/>
        <w:bCs/>
      </w:rPr>
      <w:tblPr/>
      <w:tcPr>
        <w:tcBorders>
          <w:top w:val="single" w:sz="8" w:space="0" w:color="FFCE00" w:themeColor="accent6"/>
          <w:left w:val="nil"/>
          <w:bottom w:val="single" w:sz="8" w:space="0" w:color="FFCE00" w:themeColor="accent6"/>
          <w:right w:val="nil"/>
          <w:insideH w:val="nil"/>
          <w:insideV w:val="nil"/>
        </w:tcBorders>
      </w:tcPr>
    </w:tblStylePr>
    <w:tblStylePr w:type="lastRow">
      <w:pPr>
        <w:spacing w:before="0" w:after="0" w:line="240" w:lineRule="auto"/>
      </w:pPr>
      <w:rPr>
        <w:b/>
        <w:bCs/>
      </w:rPr>
      <w:tblPr/>
      <w:tcPr>
        <w:tcBorders>
          <w:top w:val="single" w:sz="8" w:space="0" w:color="FFCE00" w:themeColor="accent6"/>
          <w:left w:val="nil"/>
          <w:bottom w:val="single" w:sz="8" w:space="0" w:color="FFCE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2C0" w:themeFill="accent6" w:themeFillTint="3F"/>
      </w:tcPr>
    </w:tblStylePr>
    <w:tblStylePr w:type="band1Horz">
      <w:tblPr/>
      <w:tcPr>
        <w:tcBorders>
          <w:left w:val="nil"/>
          <w:right w:val="nil"/>
          <w:insideH w:val="nil"/>
          <w:insideV w:val="nil"/>
        </w:tcBorders>
        <w:shd w:val="clear" w:color="auto" w:fill="FFF2C0" w:themeFill="accent6" w:themeFillTint="3F"/>
      </w:tcPr>
    </w:tblStylePr>
  </w:style>
  <w:style w:type="table" w:styleId="MediumGrid1">
    <w:name w:val="Medium Grid 1"/>
    <w:basedOn w:val="TableNormal"/>
    <w:uiPriority w:val="67"/>
    <w:semiHidden/>
    <w:unhideWhenUsed/>
    <w:rsid w:val="009E6ED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9E6ED7"/>
    <w:tblPr>
      <w:tblStyleRowBandSize w:val="1"/>
      <w:tblStyleColBandSize w:val="1"/>
      <w:tblBorders>
        <w:top w:val="single" w:sz="8" w:space="0" w:color="00E5B0" w:themeColor="accent1" w:themeTint="BF"/>
        <w:left w:val="single" w:sz="8" w:space="0" w:color="00E5B0" w:themeColor="accent1" w:themeTint="BF"/>
        <w:bottom w:val="single" w:sz="8" w:space="0" w:color="00E5B0" w:themeColor="accent1" w:themeTint="BF"/>
        <w:right w:val="single" w:sz="8" w:space="0" w:color="00E5B0" w:themeColor="accent1" w:themeTint="BF"/>
        <w:insideH w:val="single" w:sz="8" w:space="0" w:color="00E5B0" w:themeColor="accent1" w:themeTint="BF"/>
        <w:insideV w:val="single" w:sz="8" w:space="0" w:color="00E5B0" w:themeColor="accent1" w:themeTint="BF"/>
      </w:tblBorders>
    </w:tblPr>
    <w:tcPr>
      <w:shd w:val="clear" w:color="auto" w:fill="A2FFE9" w:themeFill="accent1" w:themeFillTint="3F"/>
    </w:tcPr>
    <w:tblStylePr w:type="firstRow">
      <w:rPr>
        <w:b/>
        <w:bCs/>
      </w:rPr>
    </w:tblStylePr>
    <w:tblStylePr w:type="lastRow">
      <w:rPr>
        <w:b/>
        <w:bCs/>
      </w:rPr>
      <w:tblPr/>
      <w:tcPr>
        <w:tcBorders>
          <w:top w:val="single" w:sz="18" w:space="0" w:color="00E5B0" w:themeColor="accent1" w:themeTint="BF"/>
        </w:tcBorders>
      </w:tcPr>
    </w:tblStylePr>
    <w:tblStylePr w:type="firstCol">
      <w:rPr>
        <w:b/>
        <w:bCs/>
      </w:rPr>
    </w:tblStylePr>
    <w:tblStylePr w:type="lastCol">
      <w:rPr>
        <w:b/>
        <w:bCs/>
      </w:rPr>
    </w:tblStylePr>
    <w:tblStylePr w:type="band1Vert">
      <w:tblPr/>
      <w:tcPr>
        <w:shd w:val="clear" w:color="auto" w:fill="44FFD3" w:themeFill="accent1" w:themeFillTint="7F"/>
      </w:tcPr>
    </w:tblStylePr>
    <w:tblStylePr w:type="band1Horz">
      <w:tblPr/>
      <w:tcPr>
        <w:shd w:val="clear" w:color="auto" w:fill="44FFD3" w:themeFill="accent1" w:themeFillTint="7F"/>
      </w:tcPr>
    </w:tblStylePr>
  </w:style>
  <w:style w:type="table" w:styleId="MediumGrid1-Accent2">
    <w:name w:val="Medium Grid 1 Accent 2"/>
    <w:basedOn w:val="TableNormal"/>
    <w:uiPriority w:val="67"/>
    <w:semiHidden/>
    <w:unhideWhenUsed/>
    <w:rsid w:val="009E6ED7"/>
    <w:tblPr>
      <w:tblStyleRowBandSize w:val="1"/>
      <w:tblStyleColBandSize w:val="1"/>
      <w:tblBorders>
        <w:top w:val="single" w:sz="8" w:space="0" w:color="0094AE" w:themeColor="accent2" w:themeTint="BF"/>
        <w:left w:val="single" w:sz="8" w:space="0" w:color="0094AE" w:themeColor="accent2" w:themeTint="BF"/>
        <w:bottom w:val="single" w:sz="8" w:space="0" w:color="0094AE" w:themeColor="accent2" w:themeTint="BF"/>
        <w:right w:val="single" w:sz="8" w:space="0" w:color="0094AE" w:themeColor="accent2" w:themeTint="BF"/>
        <w:insideH w:val="single" w:sz="8" w:space="0" w:color="0094AE" w:themeColor="accent2" w:themeTint="BF"/>
        <w:insideV w:val="single" w:sz="8" w:space="0" w:color="0094AE" w:themeColor="accent2" w:themeTint="BF"/>
      </w:tblBorders>
    </w:tblPr>
    <w:tcPr>
      <w:shd w:val="clear" w:color="auto" w:fill="90EEFF" w:themeFill="accent2" w:themeFillTint="3F"/>
    </w:tcPr>
    <w:tblStylePr w:type="firstRow">
      <w:rPr>
        <w:b/>
        <w:bCs/>
      </w:rPr>
    </w:tblStylePr>
    <w:tblStylePr w:type="lastRow">
      <w:rPr>
        <w:b/>
        <w:bCs/>
      </w:rPr>
      <w:tblPr/>
      <w:tcPr>
        <w:tcBorders>
          <w:top w:val="single" w:sz="18" w:space="0" w:color="0094AE" w:themeColor="accent2" w:themeTint="BF"/>
        </w:tcBorders>
      </w:tcPr>
    </w:tblStylePr>
    <w:tblStylePr w:type="firstCol">
      <w:rPr>
        <w:b/>
        <w:bCs/>
      </w:rPr>
    </w:tblStylePr>
    <w:tblStylePr w:type="lastCol">
      <w:rPr>
        <w:b/>
        <w:bCs/>
      </w:rPr>
    </w:tblStylePr>
    <w:tblStylePr w:type="band1Vert">
      <w:tblPr/>
      <w:tcPr>
        <w:shd w:val="clear" w:color="auto" w:fill="1FDDFF" w:themeFill="accent2" w:themeFillTint="7F"/>
      </w:tcPr>
    </w:tblStylePr>
    <w:tblStylePr w:type="band1Horz">
      <w:tblPr/>
      <w:tcPr>
        <w:shd w:val="clear" w:color="auto" w:fill="1FDDFF" w:themeFill="accent2" w:themeFillTint="7F"/>
      </w:tcPr>
    </w:tblStylePr>
  </w:style>
  <w:style w:type="table" w:styleId="MediumGrid1-Accent3">
    <w:name w:val="Medium Grid 1 Accent 3"/>
    <w:basedOn w:val="TableNormal"/>
    <w:uiPriority w:val="67"/>
    <w:semiHidden/>
    <w:unhideWhenUsed/>
    <w:rsid w:val="009E6ED7"/>
    <w:tblPr>
      <w:tblStyleRowBandSize w:val="1"/>
      <w:tblStyleColBandSize w:val="1"/>
      <w:tblBorders>
        <w:top w:val="single" w:sz="8" w:space="0" w:color="C1D87D" w:themeColor="accent3" w:themeTint="BF"/>
        <w:left w:val="single" w:sz="8" w:space="0" w:color="C1D87D" w:themeColor="accent3" w:themeTint="BF"/>
        <w:bottom w:val="single" w:sz="8" w:space="0" w:color="C1D87D" w:themeColor="accent3" w:themeTint="BF"/>
        <w:right w:val="single" w:sz="8" w:space="0" w:color="C1D87D" w:themeColor="accent3" w:themeTint="BF"/>
        <w:insideH w:val="single" w:sz="8" w:space="0" w:color="C1D87D" w:themeColor="accent3" w:themeTint="BF"/>
        <w:insideV w:val="single" w:sz="8" w:space="0" w:color="C1D87D" w:themeColor="accent3" w:themeTint="BF"/>
      </w:tblBorders>
    </w:tblPr>
    <w:tcPr>
      <w:shd w:val="clear" w:color="auto" w:fill="EAF2D4" w:themeFill="accent3" w:themeFillTint="3F"/>
    </w:tcPr>
    <w:tblStylePr w:type="firstRow">
      <w:rPr>
        <w:b/>
        <w:bCs/>
      </w:rPr>
    </w:tblStylePr>
    <w:tblStylePr w:type="lastRow">
      <w:rPr>
        <w:b/>
        <w:bCs/>
      </w:rPr>
      <w:tblPr/>
      <w:tcPr>
        <w:tcBorders>
          <w:top w:val="single" w:sz="18" w:space="0" w:color="C1D87D" w:themeColor="accent3" w:themeTint="BF"/>
        </w:tcBorders>
      </w:tcPr>
    </w:tblStylePr>
    <w:tblStylePr w:type="firstCol">
      <w:rPr>
        <w:b/>
        <w:bCs/>
      </w:rPr>
    </w:tblStylePr>
    <w:tblStylePr w:type="lastCol">
      <w:rPr>
        <w:b/>
        <w:bCs/>
      </w:rPr>
    </w:tblStylePr>
    <w:tblStylePr w:type="band1Vert">
      <w:tblPr/>
      <w:tcPr>
        <w:shd w:val="clear" w:color="auto" w:fill="D6E5A9" w:themeFill="accent3" w:themeFillTint="7F"/>
      </w:tcPr>
    </w:tblStylePr>
    <w:tblStylePr w:type="band1Horz">
      <w:tblPr/>
      <w:tcPr>
        <w:shd w:val="clear" w:color="auto" w:fill="D6E5A9" w:themeFill="accent3" w:themeFillTint="7F"/>
      </w:tcPr>
    </w:tblStylePr>
  </w:style>
  <w:style w:type="table" w:styleId="MediumGrid1-Accent4">
    <w:name w:val="Medium Grid 1 Accent 4"/>
    <w:basedOn w:val="TableNormal"/>
    <w:uiPriority w:val="67"/>
    <w:semiHidden/>
    <w:unhideWhenUsed/>
    <w:rsid w:val="009E6ED7"/>
    <w:tblPr>
      <w:tblStyleRowBandSize w:val="1"/>
      <w:tblStyleColBandSize w:val="1"/>
      <w:tblBorders>
        <w:top w:val="single" w:sz="8" w:space="0" w:color="F05949" w:themeColor="accent4" w:themeTint="BF"/>
        <w:left w:val="single" w:sz="8" w:space="0" w:color="F05949" w:themeColor="accent4" w:themeTint="BF"/>
        <w:bottom w:val="single" w:sz="8" w:space="0" w:color="F05949" w:themeColor="accent4" w:themeTint="BF"/>
        <w:right w:val="single" w:sz="8" w:space="0" w:color="F05949" w:themeColor="accent4" w:themeTint="BF"/>
        <w:insideH w:val="single" w:sz="8" w:space="0" w:color="F05949" w:themeColor="accent4" w:themeTint="BF"/>
        <w:insideV w:val="single" w:sz="8" w:space="0" w:color="F05949" w:themeColor="accent4" w:themeTint="BF"/>
      </w:tblBorders>
    </w:tblPr>
    <w:tcPr>
      <w:shd w:val="clear" w:color="auto" w:fill="FAC8C2" w:themeFill="accent4" w:themeFillTint="3F"/>
    </w:tcPr>
    <w:tblStylePr w:type="firstRow">
      <w:rPr>
        <w:b/>
        <w:bCs/>
      </w:rPr>
    </w:tblStylePr>
    <w:tblStylePr w:type="lastRow">
      <w:rPr>
        <w:b/>
        <w:bCs/>
      </w:rPr>
      <w:tblPr/>
      <w:tcPr>
        <w:tcBorders>
          <w:top w:val="single" w:sz="18" w:space="0" w:color="F05949" w:themeColor="accent4" w:themeTint="BF"/>
        </w:tcBorders>
      </w:tcPr>
    </w:tblStylePr>
    <w:tblStylePr w:type="firstCol">
      <w:rPr>
        <w:b/>
        <w:bCs/>
      </w:rPr>
    </w:tblStylePr>
    <w:tblStylePr w:type="lastCol">
      <w:rPr>
        <w:b/>
        <w:bCs/>
      </w:rPr>
    </w:tblStylePr>
    <w:tblStylePr w:type="band1Vert">
      <w:tblPr/>
      <w:tcPr>
        <w:shd w:val="clear" w:color="auto" w:fill="F59086" w:themeFill="accent4" w:themeFillTint="7F"/>
      </w:tcPr>
    </w:tblStylePr>
    <w:tblStylePr w:type="band1Horz">
      <w:tblPr/>
      <w:tcPr>
        <w:shd w:val="clear" w:color="auto" w:fill="F59086" w:themeFill="accent4" w:themeFillTint="7F"/>
      </w:tcPr>
    </w:tblStylePr>
  </w:style>
  <w:style w:type="table" w:styleId="MediumGrid1-Accent5">
    <w:name w:val="Medium Grid 1 Accent 5"/>
    <w:basedOn w:val="TableNormal"/>
    <w:uiPriority w:val="67"/>
    <w:semiHidden/>
    <w:unhideWhenUsed/>
    <w:rsid w:val="009E6ED7"/>
    <w:tblPr>
      <w:tblStyleRowBandSize w:val="1"/>
      <w:tblStyleColBandSize w:val="1"/>
      <w:tblBorders>
        <w:top w:val="single" w:sz="8" w:space="0" w:color="00F2F4" w:themeColor="accent5" w:themeTint="BF"/>
        <w:left w:val="single" w:sz="8" w:space="0" w:color="00F2F4" w:themeColor="accent5" w:themeTint="BF"/>
        <w:bottom w:val="single" w:sz="8" w:space="0" w:color="00F2F4" w:themeColor="accent5" w:themeTint="BF"/>
        <w:right w:val="single" w:sz="8" w:space="0" w:color="00F2F4" w:themeColor="accent5" w:themeTint="BF"/>
        <w:insideH w:val="single" w:sz="8" w:space="0" w:color="00F2F4" w:themeColor="accent5" w:themeTint="BF"/>
        <w:insideV w:val="single" w:sz="8" w:space="0" w:color="00F2F4" w:themeColor="accent5" w:themeTint="BF"/>
      </w:tblBorders>
    </w:tblPr>
    <w:tcPr>
      <w:shd w:val="clear" w:color="auto" w:fill="A7FEFF" w:themeFill="accent5" w:themeFillTint="3F"/>
    </w:tcPr>
    <w:tblStylePr w:type="firstRow">
      <w:rPr>
        <w:b/>
        <w:bCs/>
      </w:rPr>
    </w:tblStylePr>
    <w:tblStylePr w:type="lastRow">
      <w:rPr>
        <w:b/>
        <w:bCs/>
      </w:rPr>
      <w:tblPr/>
      <w:tcPr>
        <w:tcBorders>
          <w:top w:val="single" w:sz="18" w:space="0" w:color="00F2F4" w:themeColor="accent5" w:themeTint="BF"/>
        </w:tcBorders>
      </w:tcPr>
    </w:tblStylePr>
    <w:tblStylePr w:type="firstCol">
      <w:rPr>
        <w:b/>
        <w:bCs/>
      </w:rPr>
    </w:tblStylePr>
    <w:tblStylePr w:type="lastCol">
      <w:rPr>
        <w:b/>
        <w:bCs/>
      </w:rPr>
    </w:tblStylePr>
    <w:tblStylePr w:type="band1Vert">
      <w:tblPr/>
      <w:tcPr>
        <w:shd w:val="clear" w:color="auto" w:fill="4EFDFF" w:themeFill="accent5" w:themeFillTint="7F"/>
      </w:tcPr>
    </w:tblStylePr>
    <w:tblStylePr w:type="band1Horz">
      <w:tblPr/>
      <w:tcPr>
        <w:shd w:val="clear" w:color="auto" w:fill="4EFDFF" w:themeFill="accent5" w:themeFillTint="7F"/>
      </w:tcPr>
    </w:tblStylePr>
  </w:style>
  <w:style w:type="table" w:styleId="MediumGrid1-Accent6">
    <w:name w:val="Medium Grid 1 Accent 6"/>
    <w:basedOn w:val="TableNormal"/>
    <w:uiPriority w:val="67"/>
    <w:semiHidden/>
    <w:unhideWhenUsed/>
    <w:rsid w:val="009E6ED7"/>
    <w:tblPr>
      <w:tblStyleRowBandSize w:val="1"/>
      <w:tblStyleColBandSize w:val="1"/>
      <w:tblBorders>
        <w:top w:val="single" w:sz="8" w:space="0" w:color="FFDA40" w:themeColor="accent6" w:themeTint="BF"/>
        <w:left w:val="single" w:sz="8" w:space="0" w:color="FFDA40" w:themeColor="accent6" w:themeTint="BF"/>
        <w:bottom w:val="single" w:sz="8" w:space="0" w:color="FFDA40" w:themeColor="accent6" w:themeTint="BF"/>
        <w:right w:val="single" w:sz="8" w:space="0" w:color="FFDA40" w:themeColor="accent6" w:themeTint="BF"/>
        <w:insideH w:val="single" w:sz="8" w:space="0" w:color="FFDA40" w:themeColor="accent6" w:themeTint="BF"/>
        <w:insideV w:val="single" w:sz="8" w:space="0" w:color="FFDA40" w:themeColor="accent6" w:themeTint="BF"/>
      </w:tblBorders>
    </w:tblPr>
    <w:tcPr>
      <w:shd w:val="clear" w:color="auto" w:fill="FFF2C0" w:themeFill="accent6" w:themeFillTint="3F"/>
    </w:tcPr>
    <w:tblStylePr w:type="firstRow">
      <w:rPr>
        <w:b/>
        <w:bCs/>
      </w:rPr>
    </w:tblStylePr>
    <w:tblStylePr w:type="lastRow">
      <w:rPr>
        <w:b/>
        <w:bCs/>
      </w:rPr>
      <w:tblPr/>
      <w:tcPr>
        <w:tcBorders>
          <w:top w:val="single" w:sz="18" w:space="0" w:color="FFDA40" w:themeColor="accent6" w:themeTint="BF"/>
        </w:tcBorders>
      </w:tcPr>
    </w:tblStylePr>
    <w:tblStylePr w:type="firstCol">
      <w:rPr>
        <w:b/>
        <w:bCs/>
      </w:rPr>
    </w:tblStylePr>
    <w:tblStylePr w:type="lastCol">
      <w:rPr>
        <w:b/>
        <w:bCs/>
      </w:rPr>
    </w:tblStylePr>
    <w:tblStylePr w:type="band1Vert">
      <w:tblPr/>
      <w:tcPr>
        <w:shd w:val="clear" w:color="auto" w:fill="FFE680" w:themeFill="accent6" w:themeFillTint="7F"/>
      </w:tcPr>
    </w:tblStylePr>
    <w:tblStylePr w:type="band1Horz">
      <w:tblPr/>
      <w:tcPr>
        <w:shd w:val="clear" w:color="auto" w:fill="FFE680" w:themeFill="accent6" w:themeFillTint="7F"/>
      </w:tcPr>
    </w:tblStylePr>
  </w:style>
  <w:style w:type="table" w:styleId="MediumGrid2">
    <w:name w:val="Medium Grid 2"/>
    <w:basedOn w:val="TableNormal"/>
    <w:uiPriority w:val="68"/>
    <w:semiHidden/>
    <w:unhideWhenUsed/>
    <w:rsid w:val="009E6ED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9E6ED7"/>
    <w:rPr>
      <w:rFonts w:asciiTheme="majorHAnsi" w:eastAsiaTheme="majorEastAsia" w:hAnsiTheme="majorHAnsi" w:cstheme="majorBidi"/>
      <w:color w:val="000000" w:themeColor="text1"/>
    </w:rPr>
    <w:tblPr>
      <w:tblStyleRowBandSize w:val="1"/>
      <w:tblStyleColBandSize w:val="1"/>
      <w:tblBorders>
        <w:top w:val="single" w:sz="8" w:space="0" w:color="008768" w:themeColor="accent1"/>
        <w:left w:val="single" w:sz="8" w:space="0" w:color="008768" w:themeColor="accent1"/>
        <w:bottom w:val="single" w:sz="8" w:space="0" w:color="008768" w:themeColor="accent1"/>
        <w:right w:val="single" w:sz="8" w:space="0" w:color="008768" w:themeColor="accent1"/>
        <w:insideH w:val="single" w:sz="8" w:space="0" w:color="008768" w:themeColor="accent1"/>
        <w:insideV w:val="single" w:sz="8" w:space="0" w:color="008768" w:themeColor="accent1"/>
      </w:tblBorders>
    </w:tblPr>
    <w:tcPr>
      <w:shd w:val="clear" w:color="auto" w:fill="A2FFE9" w:themeFill="accent1" w:themeFillTint="3F"/>
    </w:tcPr>
    <w:tblStylePr w:type="firstRow">
      <w:rPr>
        <w:b/>
        <w:bCs/>
        <w:color w:val="000000" w:themeColor="text1"/>
      </w:rPr>
      <w:tblPr/>
      <w:tcPr>
        <w:shd w:val="clear" w:color="auto" w:fill="DAFFF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FFED" w:themeFill="accent1" w:themeFillTint="33"/>
      </w:tcPr>
    </w:tblStylePr>
    <w:tblStylePr w:type="band1Vert">
      <w:tblPr/>
      <w:tcPr>
        <w:shd w:val="clear" w:color="auto" w:fill="44FFD3" w:themeFill="accent1" w:themeFillTint="7F"/>
      </w:tcPr>
    </w:tblStylePr>
    <w:tblStylePr w:type="band1Horz">
      <w:tblPr/>
      <w:tcPr>
        <w:tcBorders>
          <w:insideH w:val="single" w:sz="6" w:space="0" w:color="008768" w:themeColor="accent1"/>
          <w:insideV w:val="single" w:sz="6" w:space="0" w:color="008768" w:themeColor="accent1"/>
        </w:tcBorders>
        <w:shd w:val="clear" w:color="auto" w:fill="44FFD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9E6ED7"/>
    <w:rPr>
      <w:rFonts w:asciiTheme="majorHAnsi" w:eastAsiaTheme="majorEastAsia" w:hAnsiTheme="majorHAnsi" w:cstheme="majorBidi"/>
      <w:color w:val="000000" w:themeColor="text1"/>
    </w:rPr>
    <w:tblPr>
      <w:tblStyleRowBandSize w:val="1"/>
      <w:tblStyleColBandSize w:val="1"/>
      <w:tblBorders>
        <w:top w:val="single" w:sz="8" w:space="0" w:color="00353E" w:themeColor="accent2"/>
        <w:left w:val="single" w:sz="8" w:space="0" w:color="00353E" w:themeColor="accent2"/>
        <w:bottom w:val="single" w:sz="8" w:space="0" w:color="00353E" w:themeColor="accent2"/>
        <w:right w:val="single" w:sz="8" w:space="0" w:color="00353E" w:themeColor="accent2"/>
        <w:insideH w:val="single" w:sz="8" w:space="0" w:color="00353E" w:themeColor="accent2"/>
        <w:insideV w:val="single" w:sz="8" w:space="0" w:color="00353E" w:themeColor="accent2"/>
      </w:tblBorders>
    </w:tblPr>
    <w:tcPr>
      <w:shd w:val="clear" w:color="auto" w:fill="90EEFF" w:themeFill="accent2" w:themeFillTint="3F"/>
    </w:tcPr>
    <w:tblStylePr w:type="firstRow">
      <w:rPr>
        <w:b/>
        <w:bCs/>
        <w:color w:val="000000" w:themeColor="text1"/>
      </w:rPr>
      <w:tblPr/>
      <w:tcPr>
        <w:shd w:val="clear" w:color="auto" w:fill="D3F8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5F1FF" w:themeFill="accent2" w:themeFillTint="33"/>
      </w:tcPr>
    </w:tblStylePr>
    <w:tblStylePr w:type="band1Vert">
      <w:tblPr/>
      <w:tcPr>
        <w:shd w:val="clear" w:color="auto" w:fill="1FDDFF" w:themeFill="accent2" w:themeFillTint="7F"/>
      </w:tcPr>
    </w:tblStylePr>
    <w:tblStylePr w:type="band1Horz">
      <w:tblPr/>
      <w:tcPr>
        <w:tcBorders>
          <w:insideH w:val="single" w:sz="6" w:space="0" w:color="00353E" w:themeColor="accent2"/>
          <w:insideV w:val="single" w:sz="6" w:space="0" w:color="00353E" w:themeColor="accent2"/>
        </w:tcBorders>
        <w:shd w:val="clear" w:color="auto" w:fill="1FDD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9E6ED7"/>
    <w:rPr>
      <w:rFonts w:asciiTheme="majorHAnsi" w:eastAsiaTheme="majorEastAsia" w:hAnsiTheme="majorHAnsi" w:cstheme="majorBidi"/>
      <w:color w:val="000000" w:themeColor="text1"/>
    </w:rPr>
    <w:tblPr>
      <w:tblStyleRowBandSize w:val="1"/>
      <w:tblStyleColBandSize w:val="1"/>
      <w:tblBorders>
        <w:top w:val="single" w:sz="8" w:space="0" w:color="AECC53" w:themeColor="accent3"/>
        <w:left w:val="single" w:sz="8" w:space="0" w:color="AECC53" w:themeColor="accent3"/>
        <w:bottom w:val="single" w:sz="8" w:space="0" w:color="AECC53" w:themeColor="accent3"/>
        <w:right w:val="single" w:sz="8" w:space="0" w:color="AECC53" w:themeColor="accent3"/>
        <w:insideH w:val="single" w:sz="8" w:space="0" w:color="AECC53" w:themeColor="accent3"/>
        <w:insideV w:val="single" w:sz="8" w:space="0" w:color="AECC53" w:themeColor="accent3"/>
      </w:tblBorders>
    </w:tblPr>
    <w:tcPr>
      <w:shd w:val="clear" w:color="auto" w:fill="EAF2D4" w:themeFill="accent3" w:themeFillTint="3F"/>
    </w:tcPr>
    <w:tblStylePr w:type="firstRow">
      <w:rPr>
        <w:b/>
        <w:bCs/>
        <w:color w:val="000000" w:themeColor="text1"/>
      </w:rPr>
      <w:tblPr/>
      <w:tcPr>
        <w:shd w:val="clear" w:color="auto" w:fill="F6FA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EF4DC" w:themeFill="accent3" w:themeFillTint="33"/>
      </w:tcPr>
    </w:tblStylePr>
    <w:tblStylePr w:type="band1Vert">
      <w:tblPr/>
      <w:tcPr>
        <w:shd w:val="clear" w:color="auto" w:fill="D6E5A9" w:themeFill="accent3" w:themeFillTint="7F"/>
      </w:tcPr>
    </w:tblStylePr>
    <w:tblStylePr w:type="band1Horz">
      <w:tblPr/>
      <w:tcPr>
        <w:tcBorders>
          <w:insideH w:val="single" w:sz="6" w:space="0" w:color="AECC53" w:themeColor="accent3"/>
          <w:insideV w:val="single" w:sz="6" w:space="0" w:color="AECC53" w:themeColor="accent3"/>
        </w:tcBorders>
        <w:shd w:val="clear" w:color="auto" w:fill="D6E5A9"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9E6ED7"/>
    <w:rPr>
      <w:rFonts w:asciiTheme="majorHAnsi" w:eastAsiaTheme="majorEastAsia" w:hAnsiTheme="majorHAnsi" w:cstheme="majorBidi"/>
      <w:color w:val="000000" w:themeColor="text1"/>
    </w:rPr>
    <w:tblPr>
      <w:tblStyleRowBandSize w:val="1"/>
      <w:tblStyleColBandSize w:val="1"/>
      <w:tblBorders>
        <w:top w:val="single" w:sz="8" w:space="0" w:color="E52713" w:themeColor="accent4"/>
        <w:left w:val="single" w:sz="8" w:space="0" w:color="E52713" w:themeColor="accent4"/>
        <w:bottom w:val="single" w:sz="8" w:space="0" w:color="E52713" w:themeColor="accent4"/>
        <w:right w:val="single" w:sz="8" w:space="0" w:color="E52713" w:themeColor="accent4"/>
        <w:insideH w:val="single" w:sz="8" w:space="0" w:color="E52713" w:themeColor="accent4"/>
        <w:insideV w:val="single" w:sz="8" w:space="0" w:color="E52713" w:themeColor="accent4"/>
      </w:tblBorders>
    </w:tblPr>
    <w:tcPr>
      <w:shd w:val="clear" w:color="auto" w:fill="FAC8C2" w:themeFill="accent4" w:themeFillTint="3F"/>
    </w:tcPr>
    <w:tblStylePr w:type="firstRow">
      <w:rPr>
        <w:b/>
        <w:bCs/>
        <w:color w:val="000000" w:themeColor="text1"/>
      </w:rPr>
      <w:tblPr/>
      <w:tcPr>
        <w:shd w:val="clear" w:color="auto" w:fill="FDE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2CE" w:themeFill="accent4" w:themeFillTint="33"/>
      </w:tcPr>
    </w:tblStylePr>
    <w:tblStylePr w:type="band1Vert">
      <w:tblPr/>
      <w:tcPr>
        <w:shd w:val="clear" w:color="auto" w:fill="F59086" w:themeFill="accent4" w:themeFillTint="7F"/>
      </w:tcPr>
    </w:tblStylePr>
    <w:tblStylePr w:type="band1Horz">
      <w:tblPr/>
      <w:tcPr>
        <w:tcBorders>
          <w:insideH w:val="single" w:sz="6" w:space="0" w:color="E52713" w:themeColor="accent4"/>
          <w:insideV w:val="single" w:sz="6" w:space="0" w:color="E52713" w:themeColor="accent4"/>
        </w:tcBorders>
        <w:shd w:val="clear" w:color="auto" w:fill="F59086"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9E6ED7"/>
    <w:rPr>
      <w:rFonts w:asciiTheme="majorHAnsi" w:eastAsiaTheme="majorEastAsia" w:hAnsiTheme="majorHAnsi" w:cstheme="majorBidi"/>
      <w:color w:val="000000" w:themeColor="text1"/>
    </w:rPr>
    <w:tblPr>
      <w:tblStyleRowBandSize w:val="1"/>
      <w:tblStyleColBandSize w:val="1"/>
      <w:tblBorders>
        <w:top w:val="single" w:sz="8" w:space="0" w:color="009A9B" w:themeColor="accent5"/>
        <w:left w:val="single" w:sz="8" w:space="0" w:color="009A9B" w:themeColor="accent5"/>
        <w:bottom w:val="single" w:sz="8" w:space="0" w:color="009A9B" w:themeColor="accent5"/>
        <w:right w:val="single" w:sz="8" w:space="0" w:color="009A9B" w:themeColor="accent5"/>
        <w:insideH w:val="single" w:sz="8" w:space="0" w:color="009A9B" w:themeColor="accent5"/>
        <w:insideV w:val="single" w:sz="8" w:space="0" w:color="009A9B" w:themeColor="accent5"/>
      </w:tblBorders>
    </w:tblPr>
    <w:tcPr>
      <w:shd w:val="clear" w:color="auto" w:fill="A7FEFF" w:themeFill="accent5" w:themeFillTint="3F"/>
    </w:tcPr>
    <w:tblStylePr w:type="firstRow">
      <w:rPr>
        <w:b/>
        <w:bCs/>
        <w:color w:val="000000" w:themeColor="text1"/>
      </w:rPr>
      <w:tblPr/>
      <w:tcPr>
        <w:shd w:val="clear" w:color="auto" w:fill="DCFEF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EFF" w:themeFill="accent5" w:themeFillTint="33"/>
      </w:tcPr>
    </w:tblStylePr>
    <w:tblStylePr w:type="band1Vert">
      <w:tblPr/>
      <w:tcPr>
        <w:shd w:val="clear" w:color="auto" w:fill="4EFDFF" w:themeFill="accent5" w:themeFillTint="7F"/>
      </w:tcPr>
    </w:tblStylePr>
    <w:tblStylePr w:type="band1Horz">
      <w:tblPr/>
      <w:tcPr>
        <w:tcBorders>
          <w:insideH w:val="single" w:sz="6" w:space="0" w:color="009A9B" w:themeColor="accent5"/>
          <w:insideV w:val="single" w:sz="6" w:space="0" w:color="009A9B" w:themeColor="accent5"/>
        </w:tcBorders>
        <w:shd w:val="clear" w:color="auto" w:fill="4EFDF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9E6ED7"/>
    <w:rPr>
      <w:rFonts w:asciiTheme="majorHAnsi" w:eastAsiaTheme="majorEastAsia" w:hAnsiTheme="majorHAnsi" w:cstheme="majorBidi"/>
      <w:color w:val="000000" w:themeColor="text1"/>
    </w:rPr>
    <w:tblPr>
      <w:tblStyleRowBandSize w:val="1"/>
      <w:tblStyleColBandSize w:val="1"/>
      <w:tblBorders>
        <w:top w:val="single" w:sz="8" w:space="0" w:color="FFCE00" w:themeColor="accent6"/>
        <w:left w:val="single" w:sz="8" w:space="0" w:color="FFCE00" w:themeColor="accent6"/>
        <w:bottom w:val="single" w:sz="8" w:space="0" w:color="FFCE00" w:themeColor="accent6"/>
        <w:right w:val="single" w:sz="8" w:space="0" w:color="FFCE00" w:themeColor="accent6"/>
        <w:insideH w:val="single" w:sz="8" w:space="0" w:color="FFCE00" w:themeColor="accent6"/>
        <w:insideV w:val="single" w:sz="8" w:space="0" w:color="FFCE00" w:themeColor="accent6"/>
      </w:tblBorders>
    </w:tblPr>
    <w:tcPr>
      <w:shd w:val="clear" w:color="auto" w:fill="FFF2C0" w:themeFill="accent6" w:themeFillTint="3F"/>
    </w:tcPr>
    <w:tblStylePr w:type="firstRow">
      <w:rPr>
        <w:b/>
        <w:bCs/>
        <w:color w:val="000000" w:themeColor="text1"/>
      </w:rPr>
      <w:tblPr/>
      <w:tcPr>
        <w:shd w:val="clear" w:color="auto" w:fill="FFFAE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5CC" w:themeFill="accent6" w:themeFillTint="33"/>
      </w:tcPr>
    </w:tblStylePr>
    <w:tblStylePr w:type="band1Vert">
      <w:tblPr/>
      <w:tcPr>
        <w:shd w:val="clear" w:color="auto" w:fill="FFE680" w:themeFill="accent6" w:themeFillTint="7F"/>
      </w:tcPr>
    </w:tblStylePr>
    <w:tblStylePr w:type="band1Horz">
      <w:tblPr/>
      <w:tcPr>
        <w:tcBorders>
          <w:insideH w:val="single" w:sz="6" w:space="0" w:color="FFCE00" w:themeColor="accent6"/>
          <w:insideV w:val="single" w:sz="6" w:space="0" w:color="FFCE00" w:themeColor="accent6"/>
        </w:tcBorders>
        <w:shd w:val="clear" w:color="auto" w:fill="FFE68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9E6ED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9E6ED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2FFE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76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76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76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76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4FFD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4FFD3" w:themeFill="accent1" w:themeFillTint="7F"/>
      </w:tcPr>
    </w:tblStylePr>
  </w:style>
  <w:style w:type="table" w:styleId="MediumGrid3-Accent2">
    <w:name w:val="Medium Grid 3 Accent 2"/>
    <w:basedOn w:val="TableNormal"/>
    <w:uiPriority w:val="69"/>
    <w:semiHidden/>
    <w:unhideWhenUsed/>
    <w:rsid w:val="009E6ED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0EE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53E"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53E"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53E"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53E"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1FDD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1FDDFF" w:themeFill="accent2" w:themeFillTint="7F"/>
      </w:tcPr>
    </w:tblStylePr>
  </w:style>
  <w:style w:type="table" w:styleId="MediumGrid3-Accent3">
    <w:name w:val="Medium Grid 3 Accent 3"/>
    <w:basedOn w:val="TableNormal"/>
    <w:uiPriority w:val="69"/>
    <w:semiHidden/>
    <w:unhideWhenUsed/>
    <w:rsid w:val="009E6ED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AF2D4"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ECC5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ECC5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ECC5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ECC5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6E5A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6E5A9" w:themeFill="accent3" w:themeFillTint="7F"/>
      </w:tcPr>
    </w:tblStylePr>
  </w:style>
  <w:style w:type="table" w:styleId="MediumGrid3-Accent4">
    <w:name w:val="Medium Grid 3 Accent 4"/>
    <w:basedOn w:val="TableNormal"/>
    <w:uiPriority w:val="69"/>
    <w:semiHidden/>
    <w:unhideWhenUsed/>
    <w:rsid w:val="009E6ED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C8C2"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5271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5271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5271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5271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908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9086" w:themeFill="accent4" w:themeFillTint="7F"/>
      </w:tcPr>
    </w:tblStylePr>
  </w:style>
  <w:style w:type="table" w:styleId="MediumGrid3-Accent5">
    <w:name w:val="Medium Grid 3 Accent 5"/>
    <w:basedOn w:val="TableNormal"/>
    <w:uiPriority w:val="69"/>
    <w:semiHidden/>
    <w:unhideWhenUsed/>
    <w:rsid w:val="009E6ED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FE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A9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A9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A9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A9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FDF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FDFF" w:themeFill="accent5" w:themeFillTint="7F"/>
      </w:tcPr>
    </w:tblStylePr>
  </w:style>
  <w:style w:type="table" w:styleId="MediumGrid3-Accent6">
    <w:name w:val="Medium Grid 3 Accent 6"/>
    <w:basedOn w:val="TableNormal"/>
    <w:uiPriority w:val="69"/>
    <w:semiHidden/>
    <w:unhideWhenUsed/>
    <w:rsid w:val="009E6ED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2C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E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E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E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E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68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680" w:themeFill="accent6" w:themeFillTint="7F"/>
      </w:tcPr>
    </w:tblStylePr>
  </w:style>
  <w:style w:type="table" w:styleId="MediumList1">
    <w:name w:val="Medium List 1"/>
    <w:basedOn w:val="TableNormal"/>
    <w:uiPriority w:val="65"/>
    <w:semiHidden/>
    <w:unhideWhenUsed/>
    <w:rsid w:val="009E6ED7"/>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9E6ED7"/>
    <w:rPr>
      <w:color w:val="000000" w:themeColor="text1"/>
    </w:rPr>
    <w:tblPr>
      <w:tblStyleRowBandSize w:val="1"/>
      <w:tblStyleColBandSize w:val="1"/>
      <w:tblBorders>
        <w:top w:val="single" w:sz="8" w:space="0" w:color="008768" w:themeColor="accent1"/>
        <w:bottom w:val="single" w:sz="8" w:space="0" w:color="008768" w:themeColor="accent1"/>
      </w:tblBorders>
    </w:tblPr>
    <w:tblStylePr w:type="firstRow">
      <w:rPr>
        <w:rFonts w:asciiTheme="majorHAnsi" w:eastAsiaTheme="majorEastAsia" w:hAnsiTheme="majorHAnsi" w:cstheme="majorBidi"/>
      </w:rPr>
      <w:tblPr/>
      <w:tcPr>
        <w:tcBorders>
          <w:top w:val="nil"/>
          <w:bottom w:val="single" w:sz="8" w:space="0" w:color="008768" w:themeColor="accent1"/>
        </w:tcBorders>
      </w:tcPr>
    </w:tblStylePr>
    <w:tblStylePr w:type="lastRow">
      <w:rPr>
        <w:b/>
        <w:bCs/>
        <w:color w:val="000000" w:themeColor="text2"/>
      </w:rPr>
      <w:tblPr/>
      <w:tcPr>
        <w:tcBorders>
          <w:top w:val="single" w:sz="8" w:space="0" w:color="008768" w:themeColor="accent1"/>
          <w:bottom w:val="single" w:sz="8" w:space="0" w:color="008768" w:themeColor="accent1"/>
        </w:tcBorders>
      </w:tcPr>
    </w:tblStylePr>
    <w:tblStylePr w:type="firstCol">
      <w:rPr>
        <w:b/>
        <w:bCs/>
      </w:rPr>
    </w:tblStylePr>
    <w:tblStylePr w:type="lastCol">
      <w:rPr>
        <w:b/>
        <w:bCs/>
      </w:rPr>
      <w:tblPr/>
      <w:tcPr>
        <w:tcBorders>
          <w:top w:val="single" w:sz="8" w:space="0" w:color="008768" w:themeColor="accent1"/>
          <w:bottom w:val="single" w:sz="8" w:space="0" w:color="008768" w:themeColor="accent1"/>
        </w:tcBorders>
      </w:tcPr>
    </w:tblStylePr>
    <w:tblStylePr w:type="band1Vert">
      <w:tblPr/>
      <w:tcPr>
        <w:shd w:val="clear" w:color="auto" w:fill="A2FFE9" w:themeFill="accent1" w:themeFillTint="3F"/>
      </w:tcPr>
    </w:tblStylePr>
    <w:tblStylePr w:type="band1Horz">
      <w:tblPr/>
      <w:tcPr>
        <w:shd w:val="clear" w:color="auto" w:fill="A2FFE9" w:themeFill="accent1" w:themeFillTint="3F"/>
      </w:tcPr>
    </w:tblStylePr>
  </w:style>
  <w:style w:type="table" w:styleId="MediumList1-Accent2">
    <w:name w:val="Medium List 1 Accent 2"/>
    <w:basedOn w:val="TableNormal"/>
    <w:uiPriority w:val="65"/>
    <w:semiHidden/>
    <w:unhideWhenUsed/>
    <w:rsid w:val="009E6ED7"/>
    <w:rPr>
      <w:color w:val="000000" w:themeColor="text1"/>
    </w:rPr>
    <w:tblPr>
      <w:tblStyleRowBandSize w:val="1"/>
      <w:tblStyleColBandSize w:val="1"/>
      <w:tblBorders>
        <w:top w:val="single" w:sz="8" w:space="0" w:color="00353E" w:themeColor="accent2"/>
        <w:bottom w:val="single" w:sz="8" w:space="0" w:color="00353E" w:themeColor="accent2"/>
      </w:tblBorders>
    </w:tblPr>
    <w:tblStylePr w:type="firstRow">
      <w:rPr>
        <w:rFonts w:asciiTheme="majorHAnsi" w:eastAsiaTheme="majorEastAsia" w:hAnsiTheme="majorHAnsi" w:cstheme="majorBidi"/>
      </w:rPr>
      <w:tblPr/>
      <w:tcPr>
        <w:tcBorders>
          <w:top w:val="nil"/>
          <w:bottom w:val="single" w:sz="8" w:space="0" w:color="00353E" w:themeColor="accent2"/>
        </w:tcBorders>
      </w:tcPr>
    </w:tblStylePr>
    <w:tblStylePr w:type="lastRow">
      <w:rPr>
        <w:b/>
        <w:bCs/>
        <w:color w:val="000000" w:themeColor="text2"/>
      </w:rPr>
      <w:tblPr/>
      <w:tcPr>
        <w:tcBorders>
          <w:top w:val="single" w:sz="8" w:space="0" w:color="00353E" w:themeColor="accent2"/>
          <w:bottom w:val="single" w:sz="8" w:space="0" w:color="00353E" w:themeColor="accent2"/>
        </w:tcBorders>
      </w:tcPr>
    </w:tblStylePr>
    <w:tblStylePr w:type="firstCol">
      <w:rPr>
        <w:b/>
        <w:bCs/>
      </w:rPr>
    </w:tblStylePr>
    <w:tblStylePr w:type="lastCol">
      <w:rPr>
        <w:b/>
        <w:bCs/>
      </w:rPr>
      <w:tblPr/>
      <w:tcPr>
        <w:tcBorders>
          <w:top w:val="single" w:sz="8" w:space="0" w:color="00353E" w:themeColor="accent2"/>
          <w:bottom w:val="single" w:sz="8" w:space="0" w:color="00353E" w:themeColor="accent2"/>
        </w:tcBorders>
      </w:tcPr>
    </w:tblStylePr>
    <w:tblStylePr w:type="band1Vert">
      <w:tblPr/>
      <w:tcPr>
        <w:shd w:val="clear" w:color="auto" w:fill="90EEFF" w:themeFill="accent2" w:themeFillTint="3F"/>
      </w:tcPr>
    </w:tblStylePr>
    <w:tblStylePr w:type="band1Horz">
      <w:tblPr/>
      <w:tcPr>
        <w:shd w:val="clear" w:color="auto" w:fill="90EEFF" w:themeFill="accent2" w:themeFillTint="3F"/>
      </w:tcPr>
    </w:tblStylePr>
  </w:style>
  <w:style w:type="table" w:styleId="MediumList1-Accent3">
    <w:name w:val="Medium List 1 Accent 3"/>
    <w:basedOn w:val="TableNormal"/>
    <w:uiPriority w:val="65"/>
    <w:semiHidden/>
    <w:unhideWhenUsed/>
    <w:rsid w:val="009E6ED7"/>
    <w:rPr>
      <w:color w:val="000000" w:themeColor="text1"/>
    </w:rPr>
    <w:tblPr>
      <w:tblStyleRowBandSize w:val="1"/>
      <w:tblStyleColBandSize w:val="1"/>
      <w:tblBorders>
        <w:top w:val="single" w:sz="8" w:space="0" w:color="AECC53" w:themeColor="accent3"/>
        <w:bottom w:val="single" w:sz="8" w:space="0" w:color="AECC53" w:themeColor="accent3"/>
      </w:tblBorders>
    </w:tblPr>
    <w:tblStylePr w:type="firstRow">
      <w:rPr>
        <w:rFonts w:asciiTheme="majorHAnsi" w:eastAsiaTheme="majorEastAsia" w:hAnsiTheme="majorHAnsi" w:cstheme="majorBidi"/>
      </w:rPr>
      <w:tblPr/>
      <w:tcPr>
        <w:tcBorders>
          <w:top w:val="nil"/>
          <w:bottom w:val="single" w:sz="8" w:space="0" w:color="AECC53" w:themeColor="accent3"/>
        </w:tcBorders>
      </w:tcPr>
    </w:tblStylePr>
    <w:tblStylePr w:type="lastRow">
      <w:rPr>
        <w:b/>
        <w:bCs/>
        <w:color w:val="000000" w:themeColor="text2"/>
      </w:rPr>
      <w:tblPr/>
      <w:tcPr>
        <w:tcBorders>
          <w:top w:val="single" w:sz="8" w:space="0" w:color="AECC53" w:themeColor="accent3"/>
          <w:bottom w:val="single" w:sz="8" w:space="0" w:color="AECC53" w:themeColor="accent3"/>
        </w:tcBorders>
      </w:tcPr>
    </w:tblStylePr>
    <w:tblStylePr w:type="firstCol">
      <w:rPr>
        <w:b/>
        <w:bCs/>
      </w:rPr>
    </w:tblStylePr>
    <w:tblStylePr w:type="lastCol">
      <w:rPr>
        <w:b/>
        <w:bCs/>
      </w:rPr>
      <w:tblPr/>
      <w:tcPr>
        <w:tcBorders>
          <w:top w:val="single" w:sz="8" w:space="0" w:color="AECC53" w:themeColor="accent3"/>
          <w:bottom w:val="single" w:sz="8" w:space="0" w:color="AECC53" w:themeColor="accent3"/>
        </w:tcBorders>
      </w:tcPr>
    </w:tblStylePr>
    <w:tblStylePr w:type="band1Vert">
      <w:tblPr/>
      <w:tcPr>
        <w:shd w:val="clear" w:color="auto" w:fill="EAF2D4" w:themeFill="accent3" w:themeFillTint="3F"/>
      </w:tcPr>
    </w:tblStylePr>
    <w:tblStylePr w:type="band1Horz">
      <w:tblPr/>
      <w:tcPr>
        <w:shd w:val="clear" w:color="auto" w:fill="EAF2D4" w:themeFill="accent3" w:themeFillTint="3F"/>
      </w:tcPr>
    </w:tblStylePr>
  </w:style>
  <w:style w:type="table" w:styleId="MediumList1-Accent4">
    <w:name w:val="Medium List 1 Accent 4"/>
    <w:basedOn w:val="TableNormal"/>
    <w:uiPriority w:val="65"/>
    <w:semiHidden/>
    <w:unhideWhenUsed/>
    <w:rsid w:val="009E6ED7"/>
    <w:rPr>
      <w:color w:val="000000" w:themeColor="text1"/>
    </w:rPr>
    <w:tblPr>
      <w:tblStyleRowBandSize w:val="1"/>
      <w:tblStyleColBandSize w:val="1"/>
      <w:tblBorders>
        <w:top w:val="single" w:sz="8" w:space="0" w:color="E52713" w:themeColor="accent4"/>
        <w:bottom w:val="single" w:sz="8" w:space="0" w:color="E52713" w:themeColor="accent4"/>
      </w:tblBorders>
    </w:tblPr>
    <w:tblStylePr w:type="firstRow">
      <w:rPr>
        <w:rFonts w:asciiTheme="majorHAnsi" w:eastAsiaTheme="majorEastAsia" w:hAnsiTheme="majorHAnsi" w:cstheme="majorBidi"/>
      </w:rPr>
      <w:tblPr/>
      <w:tcPr>
        <w:tcBorders>
          <w:top w:val="nil"/>
          <w:bottom w:val="single" w:sz="8" w:space="0" w:color="E52713" w:themeColor="accent4"/>
        </w:tcBorders>
      </w:tcPr>
    </w:tblStylePr>
    <w:tblStylePr w:type="lastRow">
      <w:rPr>
        <w:b/>
        <w:bCs/>
        <w:color w:val="000000" w:themeColor="text2"/>
      </w:rPr>
      <w:tblPr/>
      <w:tcPr>
        <w:tcBorders>
          <w:top w:val="single" w:sz="8" w:space="0" w:color="E52713" w:themeColor="accent4"/>
          <w:bottom w:val="single" w:sz="8" w:space="0" w:color="E52713" w:themeColor="accent4"/>
        </w:tcBorders>
      </w:tcPr>
    </w:tblStylePr>
    <w:tblStylePr w:type="firstCol">
      <w:rPr>
        <w:b/>
        <w:bCs/>
      </w:rPr>
    </w:tblStylePr>
    <w:tblStylePr w:type="lastCol">
      <w:rPr>
        <w:b/>
        <w:bCs/>
      </w:rPr>
      <w:tblPr/>
      <w:tcPr>
        <w:tcBorders>
          <w:top w:val="single" w:sz="8" w:space="0" w:color="E52713" w:themeColor="accent4"/>
          <w:bottom w:val="single" w:sz="8" w:space="0" w:color="E52713" w:themeColor="accent4"/>
        </w:tcBorders>
      </w:tcPr>
    </w:tblStylePr>
    <w:tblStylePr w:type="band1Vert">
      <w:tblPr/>
      <w:tcPr>
        <w:shd w:val="clear" w:color="auto" w:fill="FAC8C2" w:themeFill="accent4" w:themeFillTint="3F"/>
      </w:tcPr>
    </w:tblStylePr>
    <w:tblStylePr w:type="band1Horz">
      <w:tblPr/>
      <w:tcPr>
        <w:shd w:val="clear" w:color="auto" w:fill="FAC8C2" w:themeFill="accent4" w:themeFillTint="3F"/>
      </w:tcPr>
    </w:tblStylePr>
  </w:style>
  <w:style w:type="table" w:styleId="MediumList1-Accent5">
    <w:name w:val="Medium List 1 Accent 5"/>
    <w:basedOn w:val="TableNormal"/>
    <w:uiPriority w:val="65"/>
    <w:semiHidden/>
    <w:unhideWhenUsed/>
    <w:rsid w:val="009E6ED7"/>
    <w:rPr>
      <w:color w:val="000000" w:themeColor="text1"/>
    </w:rPr>
    <w:tblPr>
      <w:tblStyleRowBandSize w:val="1"/>
      <w:tblStyleColBandSize w:val="1"/>
      <w:tblBorders>
        <w:top w:val="single" w:sz="8" w:space="0" w:color="009A9B" w:themeColor="accent5"/>
        <w:bottom w:val="single" w:sz="8" w:space="0" w:color="009A9B" w:themeColor="accent5"/>
      </w:tblBorders>
    </w:tblPr>
    <w:tblStylePr w:type="firstRow">
      <w:rPr>
        <w:rFonts w:asciiTheme="majorHAnsi" w:eastAsiaTheme="majorEastAsia" w:hAnsiTheme="majorHAnsi" w:cstheme="majorBidi"/>
      </w:rPr>
      <w:tblPr/>
      <w:tcPr>
        <w:tcBorders>
          <w:top w:val="nil"/>
          <w:bottom w:val="single" w:sz="8" w:space="0" w:color="009A9B" w:themeColor="accent5"/>
        </w:tcBorders>
      </w:tcPr>
    </w:tblStylePr>
    <w:tblStylePr w:type="lastRow">
      <w:rPr>
        <w:b/>
        <w:bCs/>
        <w:color w:val="000000" w:themeColor="text2"/>
      </w:rPr>
      <w:tblPr/>
      <w:tcPr>
        <w:tcBorders>
          <w:top w:val="single" w:sz="8" w:space="0" w:color="009A9B" w:themeColor="accent5"/>
          <w:bottom w:val="single" w:sz="8" w:space="0" w:color="009A9B" w:themeColor="accent5"/>
        </w:tcBorders>
      </w:tcPr>
    </w:tblStylePr>
    <w:tblStylePr w:type="firstCol">
      <w:rPr>
        <w:b/>
        <w:bCs/>
      </w:rPr>
    </w:tblStylePr>
    <w:tblStylePr w:type="lastCol">
      <w:rPr>
        <w:b/>
        <w:bCs/>
      </w:rPr>
      <w:tblPr/>
      <w:tcPr>
        <w:tcBorders>
          <w:top w:val="single" w:sz="8" w:space="0" w:color="009A9B" w:themeColor="accent5"/>
          <w:bottom w:val="single" w:sz="8" w:space="0" w:color="009A9B" w:themeColor="accent5"/>
        </w:tcBorders>
      </w:tcPr>
    </w:tblStylePr>
    <w:tblStylePr w:type="band1Vert">
      <w:tblPr/>
      <w:tcPr>
        <w:shd w:val="clear" w:color="auto" w:fill="A7FEFF" w:themeFill="accent5" w:themeFillTint="3F"/>
      </w:tcPr>
    </w:tblStylePr>
    <w:tblStylePr w:type="band1Horz">
      <w:tblPr/>
      <w:tcPr>
        <w:shd w:val="clear" w:color="auto" w:fill="A7FEFF" w:themeFill="accent5" w:themeFillTint="3F"/>
      </w:tcPr>
    </w:tblStylePr>
  </w:style>
  <w:style w:type="table" w:styleId="MediumList1-Accent6">
    <w:name w:val="Medium List 1 Accent 6"/>
    <w:basedOn w:val="TableNormal"/>
    <w:uiPriority w:val="65"/>
    <w:semiHidden/>
    <w:unhideWhenUsed/>
    <w:rsid w:val="009E6ED7"/>
    <w:rPr>
      <w:color w:val="000000" w:themeColor="text1"/>
    </w:rPr>
    <w:tblPr>
      <w:tblStyleRowBandSize w:val="1"/>
      <w:tblStyleColBandSize w:val="1"/>
      <w:tblBorders>
        <w:top w:val="single" w:sz="8" w:space="0" w:color="FFCE00" w:themeColor="accent6"/>
        <w:bottom w:val="single" w:sz="8" w:space="0" w:color="FFCE00" w:themeColor="accent6"/>
      </w:tblBorders>
    </w:tblPr>
    <w:tblStylePr w:type="firstRow">
      <w:rPr>
        <w:rFonts w:asciiTheme="majorHAnsi" w:eastAsiaTheme="majorEastAsia" w:hAnsiTheme="majorHAnsi" w:cstheme="majorBidi"/>
      </w:rPr>
      <w:tblPr/>
      <w:tcPr>
        <w:tcBorders>
          <w:top w:val="nil"/>
          <w:bottom w:val="single" w:sz="8" w:space="0" w:color="FFCE00" w:themeColor="accent6"/>
        </w:tcBorders>
      </w:tcPr>
    </w:tblStylePr>
    <w:tblStylePr w:type="lastRow">
      <w:rPr>
        <w:b/>
        <w:bCs/>
        <w:color w:val="000000" w:themeColor="text2"/>
      </w:rPr>
      <w:tblPr/>
      <w:tcPr>
        <w:tcBorders>
          <w:top w:val="single" w:sz="8" w:space="0" w:color="FFCE00" w:themeColor="accent6"/>
          <w:bottom w:val="single" w:sz="8" w:space="0" w:color="FFCE00" w:themeColor="accent6"/>
        </w:tcBorders>
      </w:tcPr>
    </w:tblStylePr>
    <w:tblStylePr w:type="firstCol">
      <w:rPr>
        <w:b/>
        <w:bCs/>
      </w:rPr>
    </w:tblStylePr>
    <w:tblStylePr w:type="lastCol">
      <w:rPr>
        <w:b/>
        <w:bCs/>
      </w:rPr>
      <w:tblPr/>
      <w:tcPr>
        <w:tcBorders>
          <w:top w:val="single" w:sz="8" w:space="0" w:color="FFCE00" w:themeColor="accent6"/>
          <w:bottom w:val="single" w:sz="8" w:space="0" w:color="FFCE00" w:themeColor="accent6"/>
        </w:tcBorders>
      </w:tcPr>
    </w:tblStylePr>
    <w:tblStylePr w:type="band1Vert">
      <w:tblPr/>
      <w:tcPr>
        <w:shd w:val="clear" w:color="auto" w:fill="FFF2C0" w:themeFill="accent6" w:themeFillTint="3F"/>
      </w:tcPr>
    </w:tblStylePr>
    <w:tblStylePr w:type="band1Horz">
      <w:tblPr/>
      <w:tcPr>
        <w:shd w:val="clear" w:color="auto" w:fill="FFF2C0" w:themeFill="accent6" w:themeFillTint="3F"/>
      </w:tcPr>
    </w:tblStylePr>
  </w:style>
  <w:style w:type="table" w:styleId="MediumList2">
    <w:name w:val="Medium List 2"/>
    <w:basedOn w:val="TableNormal"/>
    <w:uiPriority w:val="66"/>
    <w:semiHidden/>
    <w:unhideWhenUsed/>
    <w:rsid w:val="009E6ED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9E6ED7"/>
    <w:rPr>
      <w:rFonts w:asciiTheme="majorHAnsi" w:eastAsiaTheme="majorEastAsia" w:hAnsiTheme="majorHAnsi" w:cstheme="majorBidi"/>
      <w:color w:val="000000" w:themeColor="text1"/>
    </w:rPr>
    <w:tblPr>
      <w:tblStyleRowBandSize w:val="1"/>
      <w:tblStyleColBandSize w:val="1"/>
      <w:tblBorders>
        <w:top w:val="single" w:sz="8" w:space="0" w:color="008768" w:themeColor="accent1"/>
        <w:left w:val="single" w:sz="8" w:space="0" w:color="008768" w:themeColor="accent1"/>
        <w:bottom w:val="single" w:sz="8" w:space="0" w:color="008768" w:themeColor="accent1"/>
        <w:right w:val="single" w:sz="8" w:space="0" w:color="008768" w:themeColor="accent1"/>
      </w:tblBorders>
    </w:tblPr>
    <w:tblStylePr w:type="firstRow">
      <w:rPr>
        <w:sz w:val="24"/>
        <w:szCs w:val="24"/>
      </w:rPr>
      <w:tblPr/>
      <w:tcPr>
        <w:tcBorders>
          <w:top w:val="nil"/>
          <w:left w:val="nil"/>
          <w:bottom w:val="single" w:sz="24" w:space="0" w:color="008768" w:themeColor="accent1"/>
          <w:right w:val="nil"/>
          <w:insideH w:val="nil"/>
          <w:insideV w:val="nil"/>
        </w:tcBorders>
        <w:shd w:val="clear" w:color="auto" w:fill="FFFFFF" w:themeFill="background1"/>
      </w:tcPr>
    </w:tblStylePr>
    <w:tblStylePr w:type="lastRow">
      <w:tblPr/>
      <w:tcPr>
        <w:tcBorders>
          <w:top w:val="single" w:sz="8" w:space="0" w:color="00876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768" w:themeColor="accent1"/>
          <w:insideH w:val="nil"/>
          <w:insideV w:val="nil"/>
        </w:tcBorders>
        <w:shd w:val="clear" w:color="auto" w:fill="FFFFFF" w:themeFill="background1"/>
      </w:tcPr>
    </w:tblStylePr>
    <w:tblStylePr w:type="lastCol">
      <w:tblPr/>
      <w:tcPr>
        <w:tcBorders>
          <w:top w:val="nil"/>
          <w:left w:val="single" w:sz="8" w:space="0" w:color="00876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2FFE9" w:themeFill="accent1" w:themeFillTint="3F"/>
      </w:tcPr>
    </w:tblStylePr>
    <w:tblStylePr w:type="band1Horz">
      <w:tblPr/>
      <w:tcPr>
        <w:tcBorders>
          <w:top w:val="nil"/>
          <w:bottom w:val="nil"/>
          <w:insideH w:val="nil"/>
          <w:insideV w:val="nil"/>
        </w:tcBorders>
        <w:shd w:val="clear" w:color="auto" w:fill="A2FFE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9E6ED7"/>
    <w:rPr>
      <w:rFonts w:asciiTheme="majorHAnsi" w:eastAsiaTheme="majorEastAsia" w:hAnsiTheme="majorHAnsi" w:cstheme="majorBidi"/>
      <w:color w:val="000000" w:themeColor="text1"/>
    </w:rPr>
    <w:tblPr>
      <w:tblStyleRowBandSize w:val="1"/>
      <w:tblStyleColBandSize w:val="1"/>
      <w:tblBorders>
        <w:top w:val="single" w:sz="8" w:space="0" w:color="00353E" w:themeColor="accent2"/>
        <w:left w:val="single" w:sz="8" w:space="0" w:color="00353E" w:themeColor="accent2"/>
        <w:bottom w:val="single" w:sz="8" w:space="0" w:color="00353E" w:themeColor="accent2"/>
        <w:right w:val="single" w:sz="8" w:space="0" w:color="00353E" w:themeColor="accent2"/>
      </w:tblBorders>
    </w:tblPr>
    <w:tblStylePr w:type="firstRow">
      <w:rPr>
        <w:sz w:val="24"/>
        <w:szCs w:val="24"/>
      </w:rPr>
      <w:tblPr/>
      <w:tcPr>
        <w:tcBorders>
          <w:top w:val="nil"/>
          <w:left w:val="nil"/>
          <w:bottom w:val="single" w:sz="24" w:space="0" w:color="00353E" w:themeColor="accent2"/>
          <w:right w:val="nil"/>
          <w:insideH w:val="nil"/>
          <w:insideV w:val="nil"/>
        </w:tcBorders>
        <w:shd w:val="clear" w:color="auto" w:fill="FFFFFF" w:themeFill="background1"/>
      </w:tcPr>
    </w:tblStylePr>
    <w:tblStylePr w:type="lastRow">
      <w:tblPr/>
      <w:tcPr>
        <w:tcBorders>
          <w:top w:val="single" w:sz="8" w:space="0" w:color="00353E"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53E" w:themeColor="accent2"/>
          <w:insideH w:val="nil"/>
          <w:insideV w:val="nil"/>
        </w:tcBorders>
        <w:shd w:val="clear" w:color="auto" w:fill="FFFFFF" w:themeFill="background1"/>
      </w:tcPr>
    </w:tblStylePr>
    <w:tblStylePr w:type="lastCol">
      <w:tblPr/>
      <w:tcPr>
        <w:tcBorders>
          <w:top w:val="nil"/>
          <w:left w:val="single" w:sz="8" w:space="0" w:color="00353E"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0EEFF" w:themeFill="accent2" w:themeFillTint="3F"/>
      </w:tcPr>
    </w:tblStylePr>
    <w:tblStylePr w:type="band1Horz">
      <w:tblPr/>
      <w:tcPr>
        <w:tcBorders>
          <w:top w:val="nil"/>
          <w:bottom w:val="nil"/>
          <w:insideH w:val="nil"/>
          <w:insideV w:val="nil"/>
        </w:tcBorders>
        <w:shd w:val="clear" w:color="auto" w:fill="90EE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9E6ED7"/>
    <w:rPr>
      <w:rFonts w:asciiTheme="majorHAnsi" w:eastAsiaTheme="majorEastAsia" w:hAnsiTheme="majorHAnsi" w:cstheme="majorBidi"/>
      <w:color w:val="000000" w:themeColor="text1"/>
    </w:rPr>
    <w:tblPr>
      <w:tblStyleRowBandSize w:val="1"/>
      <w:tblStyleColBandSize w:val="1"/>
      <w:tblBorders>
        <w:top w:val="single" w:sz="8" w:space="0" w:color="AECC53" w:themeColor="accent3"/>
        <w:left w:val="single" w:sz="8" w:space="0" w:color="AECC53" w:themeColor="accent3"/>
        <w:bottom w:val="single" w:sz="8" w:space="0" w:color="AECC53" w:themeColor="accent3"/>
        <w:right w:val="single" w:sz="8" w:space="0" w:color="AECC53" w:themeColor="accent3"/>
      </w:tblBorders>
    </w:tblPr>
    <w:tblStylePr w:type="firstRow">
      <w:rPr>
        <w:sz w:val="24"/>
        <w:szCs w:val="24"/>
      </w:rPr>
      <w:tblPr/>
      <w:tcPr>
        <w:tcBorders>
          <w:top w:val="nil"/>
          <w:left w:val="nil"/>
          <w:bottom w:val="single" w:sz="24" w:space="0" w:color="AECC53" w:themeColor="accent3"/>
          <w:right w:val="nil"/>
          <w:insideH w:val="nil"/>
          <w:insideV w:val="nil"/>
        </w:tcBorders>
        <w:shd w:val="clear" w:color="auto" w:fill="FFFFFF" w:themeFill="background1"/>
      </w:tcPr>
    </w:tblStylePr>
    <w:tblStylePr w:type="lastRow">
      <w:tblPr/>
      <w:tcPr>
        <w:tcBorders>
          <w:top w:val="single" w:sz="8" w:space="0" w:color="AECC5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ECC53" w:themeColor="accent3"/>
          <w:insideH w:val="nil"/>
          <w:insideV w:val="nil"/>
        </w:tcBorders>
        <w:shd w:val="clear" w:color="auto" w:fill="FFFFFF" w:themeFill="background1"/>
      </w:tcPr>
    </w:tblStylePr>
    <w:tblStylePr w:type="lastCol">
      <w:tblPr/>
      <w:tcPr>
        <w:tcBorders>
          <w:top w:val="nil"/>
          <w:left w:val="single" w:sz="8" w:space="0" w:color="AECC5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AF2D4" w:themeFill="accent3" w:themeFillTint="3F"/>
      </w:tcPr>
    </w:tblStylePr>
    <w:tblStylePr w:type="band1Horz">
      <w:tblPr/>
      <w:tcPr>
        <w:tcBorders>
          <w:top w:val="nil"/>
          <w:bottom w:val="nil"/>
          <w:insideH w:val="nil"/>
          <w:insideV w:val="nil"/>
        </w:tcBorders>
        <w:shd w:val="clear" w:color="auto" w:fill="EAF2D4"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9E6ED7"/>
    <w:rPr>
      <w:rFonts w:asciiTheme="majorHAnsi" w:eastAsiaTheme="majorEastAsia" w:hAnsiTheme="majorHAnsi" w:cstheme="majorBidi"/>
      <w:color w:val="000000" w:themeColor="text1"/>
    </w:rPr>
    <w:tblPr>
      <w:tblStyleRowBandSize w:val="1"/>
      <w:tblStyleColBandSize w:val="1"/>
      <w:tblBorders>
        <w:top w:val="single" w:sz="8" w:space="0" w:color="E52713" w:themeColor="accent4"/>
        <w:left w:val="single" w:sz="8" w:space="0" w:color="E52713" w:themeColor="accent4"/>
        <w:bottom w:val="single" w:sz="8" w:space="0" w:color="E52713" w:themeColor="accent4"/>
        <w:right w:val="single" w:sz="8" w:space="0" w:color="E52713" w:themeColor="accent4"/>
      </w:tblBorders>
    </w:tblPr>
    <w:tblStylePr w:type="firstRow">
      <w:rPr>
        <w:sz w:val="24"/>
        <w:szCs w:val="24"/>
      </w:rPr>
      <w:tblPr/>
      <w:tcPr>
        <w:tcBorders>
          <w:top w:val="nil"/>
          <w:left w:val="nil"/>
          <w:bottom w:val="single" w:sz="24" w:space="0" w:color="E52713" w:themeColor="accent4"/>
          <w:right w:val="nil"/>
          <w:insideH w:val="nil"/>
          <w:insideV w:val="nil"/>
        </w:tcBorders>
        <w:shd w:val="clear" w:color="auto" w:fill="FFFFFF" w:themeFill="background1"/>
      </w:tcPr>
    </w:tblStylePr>
    <w:tblStylePr w:type="lastRow">
      <w:tblPr/>
      <w:tcPr>
        <w:tcBorders>
          <w:top w:val="single" w:sz="8" w:space="0" w:color="E5271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52713" w:themeColor="accent4"/>
          <w:insideH w:val="nil"/>
          <w:insideV w:val="nil"/>
        </w:tcBorders>
        <w:shd w:val="clear" w:color="auto" w:fill="FFFFFF" w:themeFill="background1"/>
      </w:tcPr>
    </w:tblStylePr>
    <w:tblStylePr w:type="lastCol">
      <w:tblPr/>
      <w:tcPr>
        <w:tcBorders>
          <w:top w:val="nil"/>
          <w:left w:val="single" w:sz="8" w:space="0" w:color="E5271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C8C2" w:themeFill="accent4" w:themeFillTint="3F"/>
      </w:tcPr>
    </w:tblStylePr>
    <w:tblStylePr w:type="band1Horz">
      <w:tblPr/>
      <w:tcPr>
        <w:tcBorders>
          <w:top w:val="nil"/>
          <w:bottom w:val="nil"/>
          <w:insideH w:val="nil"/>
          <w:insideV w:val="nil"/>
        </w:tcBorders>
        <w:shd w:val="clear" w:color="auto" w:fill="FAC8C2"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9E6ED7"/>
    <w:rPr>
      <w:rFonts w:asciiTheme="majorHAnsi" w:eastAsiaTheme="majorEastAsia" w:hAnsiTheme="majorHAnsi" w:cstheme="majorBidi"/>
      <w:color w:val="000000" w:themeColor="text1"/>
    </w:rPr>
    <w:tblPr>
      <w:tblStyleRowBandSize w:val="1"/>
      <w:tblStyleColBandSize w:val="1"/>
      <w:tblBorders>
        <w:top w:val="single" w:sz="8" w:space="0" w:color="009A9B" w:themeColor="accent5"/>
        <w:left w:val="single" w:sz="8" w:space="0" w:color="009A9B" w:themeColor="accent5"/>
        <w:bottom w:val="single" w:sz="8" w:space="0" w:color="009A9B" w:themeColor="accent5"/>
        <w:right w:val="single" w:sz="8" w:space="0" w:color="009A9B" w:themeColor="accent5"/>
      </w:tblBorders>
    </w:tblPr>
    <w:tblStylePr w:type="firstRow">
      <w:rPr>
        <w:sz w:val="24"/>
        <w:szCs w:val="24"/>
      </w:rPr>
      <w:tblPr/>
      <w:tcPr>
        <w:tcBorders>
          <w:top w:val="nil"/>
          <w:left w:val="nil"/>
          <w:bottom w:val="single" w:sz="24" w:space="0" w:color="009A9B" w:themeColor="accent5"/>
          <w:right w:val="nil"/>
          <w:insideH w:val="nil"/>
          <w:insideV w:val="nil"/>
        </w:tcBorders>
        <w:shd w:val="clear" w:color="auto" w:fill="FFFFFF" w:themeFill="background1"/>
      </w:tcPr>
    </w:tblStylePr>
    <w:tblStylePr w:type="lastRow">
      <w:tblPr/>
      <w:tcPr>
        <w:tcBorders>
          <w:top w:val="single" w:sz="8" w:space="0" w:color="009A9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A9B" w:themeColor="accent5"/>
          <w:insideH w:val="nil"/>
          <w:insideV w:val="nil"/>
        </w:tcBorders>
        <w:shd w:val="clear" w:color="auto" w:fill="FFFFFF" w:themeFill="background1"/>
      </w:tcPr>
    </w:tblStylePr>
    <w:tblStylePr w:type="lastCol">
      <w:tblPr/>
      <w:tcPr>
        <w:tcBorders>
          <w:top w:val="nil"/>
          <w:left w:val="single" w:sz="8" w:space="0" w:color="009A9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FEFF" w:themeFill="accent5" w:themeFillTint="3F"/>
      </w:tcPr>
    </w:tblStylePr>
    <w:tblStylePr w:type="band1Horz">
      <w:tblPr/>
      <w:tcPr>
        <w:tcBorders>
          <w:top w:val="nil"/>
          <w:bottom w:val="nil"/>
          <w:insideH w:val="nil"/>
          <w:insideV w:val="nil"/>
        </w:tcBorders>
        <w:shd w:val="clear" w:color="auto" w:fill="A7FE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9E6ED7"/>
    <w:rPr>
      <w:rFonts w:asciiTheme="majorHAnsi" w:eastAsiaTheme="majorEastAsia" w:hAnsiTheme="majorHAnsi" w:cstheme="majorBidi"/>
      <w:color w:val="000000" w:themeColor="text1"/>
    </w:rPr>
    <w:tblPr>
      <w:tblStyleRowBandSize w:val="1"/>
      <w:tblStyleColBandSize w:val="1"/>
      <w:tblBorders>
        <w:top w:val="single" w:sz="8" w:space="0" w:color="FFCE00" w:themeColor="accent6"/>
        <w:left w:val="single" w:sz="8" w:space="0" w:color="FFCE00" w:themeColor="accent6"/>
        <w:bottom w:val="single" w:sz="8" w:space="0" w:color="FFCE00" w:themeColor="accent6"/>
        <w:right w:val="single" w:sz="8" w:space="0" w:color="FFCE00" w:themeColor="accent6"/>
      </w:tblBorders>
    </w:tblPr>
    <w:tblStylePr w:type="firstRow">
      <w:rPr>
        <w:sz w:val="24"/>
        <w:szCs w:val="24"/>
      </w:rPr>
      <w:tblPr/>
      <w:tcPr>
        <w:tcBorders>
          <w:top w:val="nil"/>
          <w:left w:val="nil"/>
          <w:bottom w:val="single" w:sz="24" w:space="0" w:color="FFCE00" w:themeColor="accent6"/>
          <w:right w:val="nil"/>
          <w:insideH w:val="nil"/>
          <w:insideV w:val="nil"/>
        </w:tcBorders>
        <w:shd w:val="clear" w:color="auto" w:fill="FFFFFF" w:themeFill="background1"/>
      </w:tcPr>
    </w:tblStylePr>
    <w:tblStylePr w:type="lastRow">
      <w:tblPr/>
      <w:tcPr>
        <w:tcBorders>
          <w:top w:val="single" w:sz="8" w:space="0" w:color="FFCE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E00" w:themeColor="accent6"/>
          <w:insideH w:val="nil"/>
          <w:insideV w:val="nil"/>
        </w:tcBorders>
        <w:shd w:val="clear" w:color="auto" w:fill="FFFFFF" w:themeFill="background1"/>
      </w:tcPr>
    </w:tblStylePr>
    <w:tblStylePr w:type="lastCol">
      <w:tblPr/>
      <w:tcPr>
        <w:tcBorders>
          <w:top w:val="nil"/>
          <w:left w:val="single" w:sz="8" w:space="0" w:color="FFCE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2C0" w:themeFill="accent6" w:themeFillTint="3F"/>
      </w:tcPr>
    </w:tblStylePr>
    <w:tblStylePr w:type="band1Horz">
      <w:tblPr/>
      <w:tcPr>
        <w:tcBorders>
          <w:top w:val="nil"/>
          <w:bottom w:val="nil"/>
          <w:insideH w:val="nil"/>
          <w:insideV w:val="nil"/>
        </w:tcBorders>
        <w:shd w:val="clear" w:color="auto" w:fill="FFF2C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9E6ED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9E6ED7"/>
    <w:tblPr>
      <w:tblStyleRowBandSize w:val="1"/>
      <w:tblStyleColBandSize w:val="1"/>
      <w:tblBorders>
        <w:top w:val="single" w:sz="8" w:space="0" w:color="00E5B0" w:themeColor="accent1" w:themeTint="BF"/>
        <w:left w:val="single" w:sz="8" w:space="0" w:color="00E5B0" w:themeColor="accent1" w:themeTint="BF"/>
        <w:bottom w:val="single" w:sz="8" w:space="0" w:color="00E5B0" w:themeColor="accent1" w:themeTint="BF"/>
        <w:right w:val="single" w:sz="8" w:space="0" w:color="00E5B0" w:themeColor="accent1" w:themeTint="BF"/>
        <w:insideH w:val="single" w:sz="8" w:space="0" w:color="00E5B0" w:themeColor="accent1" w:themeTint="BF"/>
      </w:tblBorders>
    </w:tblPr>
    <w:tblStylePr w:type="firstRow">
      <w:pPr>
        <w:spacing w:before="0" w:after="0" w:line="240" w:lineRule="auto"/>
      </w:pPr>
      <w:rPr>
        <w:b/>
        <w:bCs/>
        <w:color w:val="FFFFFF" w:themeColor="background1"/>
      </w:rPr>
      <w:tblPr/>
      <w:tcPr>
        <w:tcBorders>
          <w:top w:val="single" w:sz="8" w:space="0" w:color="00E5B0" w:themeColor="accent1" w:themeTint="BF"/>
          <w:left w:val="single" w:sz="8" w:space="0" w:color="00E5B0" w:themeColor="accent1" w:themeTint="BF"/>
          <w:bottom w:val="single" w:sz="8" w:space="0" w:color="00E5B0" w:themeColor="accent1" w:themeTint="BF"/>
          <w:right w:val="single" w:sz="8" w:space="0" w:color="00E5B0" w:themeColor="accent1" w:themeTint="BF"/>
          <w:insideH w:val="nil"/>
          <w:insideV w:val="nil"/>
        </w:tcBorders>
        <w:shd w:val="clear" w:color="auto" w:fill="008768" w:themeFill="accent1"/>
      </w:tcPr>
    </w:tblStylePr>
    <w:tblStylePr w:type="lastRow">
      <w:pPr>
        <w:spacing w:before="0" w:after="0" w:line="240" w:lineRule="auto"/>
      </w:pPr>
      <w:rPr>
        <w:b/>
        <w:bCs/>
      </w:rPr>
      <w:tblPr/>
      <w:tcPr>
        <w:tcBorders>
          <w:top w:val="double" w:sz="6" w:space="0" w:color="00E5B0" w:themeColor="accent1" w:themeTint="BF"/>
          <w:left w:val="single" w:sz="8" w:space="0" w:color="00E5B0" w:themeColor="accent1" w:themeTint="BF"/>
          <w:bottom w:val="single" w:sz="8" w:space="0" w:color="00E5B0" w:themeColor="accent1" w:themeTint="BF"/>
          <w:right w:val="single" w:sz="8" w:space="0" w:color="00E5B0" w:themeColor="accent1" w:themeTint="BF"/>
          <w:insideH w:val="nil"/>
          <w:insideV w:val="nil"/>
        </w:tcBorders>
      </w:tcPr>
    </w:tblStylePr>
    <w:tblStylePr w:type="firstCol">
      <w:rPr>
        <w:b/>
        <w:bCs/>
      </w:rPr>
    </w:tblStylePr>
    <w:tblStylePr w:type="lastCol">
      <w:rPr>
        <w:b/>
        <w:bCs/>
      </w:rPr>
    </w:tblStylePr>
    <w:tblStylePr w:type="band1Vert">
      <w:tblPr/>
      <w:tcPr>
        <w:shd w:val="clear" w:color="auto" w:fill="A2FFE9" w:themeFill="accent1" w:themeFillTint="3F"/>
      </w:tcPr>
    </w:tblStylePr>
    <w:tblStylePr w:type="band1Horz">
      <w:tblPr/>
      <w:tcPr>
        <w:tcBorders>
          <w:insideH w:val="nil"/>
          <w:insideV w:val="nil"/>
        </w:tcBorders>
        <w:shd w:val="clear" w:color="auto" w:fill="A2FFE9"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9E6ED7"/>
    <w:tblPr>
      <w:tblStyleRowBandSize w:val="1"/>
      <w:tblStyleColBandSize w:val="1"/>
      <w:tblBorders>
        <w:top w:val="single" w:sz="8" w:space="0" w:color="0094AE" w:themeColor="accent2" w:themeTint="BF"/>
        <w:left w:val="single" w:sz="8" w:space="0" w:color="0094AE" w:themeColor="accent2" w:themeTint="BF"/>
        <w:bottom w:val="single" w:sz="8" w:space="0" w:color="0094AE" w:themeColor="accent2" w:themeTint="BF"/>
        <w:right w:val="single" w:sz="8" w:space="0" w:color="0094AE" w:themeColor="accent2" w:themeTint="BF"/>
        <w:insideH w:val="single" w:sz="8" w:space="0" w:color="0094AE" w:themeColor="accent2" w:themeTint="BF"/>
      </w:tblBorders>
    </w:tblPr>
    <w:tblStylePr w:type="firstRow">
      <w:pPr>
        <w:spacing w:before="0" w:after="0" w:line="240" w:lineRule="auto"/>
      </w:pPr>
      <w:rPr>
        <w:b/>
        <w:bCs/>
        <w:color w:val="FFFFFF" w:themeColor="background1"/>
      </w:rPr>
      <w:tblPr/>
      <w:tcPr>
        <w:tcBorders>
          <w:top w:val="single" w:sz="8" w:space="0" w:color="0094AE" w:themeColor="accent2" w:themeTint="BF"/>
          <w:left w:val="single" w:sz="8" w:space="0" w:color="0094AE" w:themeColor="accent2" w:themeTint="BF"/>
          <w:bottom w:val="single" w:sz="8" w:space="0" w:color="0094AE" w:themeColor="accent2" w:themeTint="BF"/>
          <w:right w:val="single" w:sz="8" w:space="0" w:color="0094AE" w:themeColor="accent2" w:themeTint="BF"/>
          <w:insideH w:val="nil"/>
          <w:insideV w:val="nil"/>
        </w:tcBorders>
        <w:shd w:val="clear" w:color="auto" w:fill="00353E" w:themeFill="accent2"/>
      </w:tcPr>
    </w:tblStylePr>
    <w:tblStylePr w:type="lastRow">
      <w:pPr>
        <w:spacing w:before="0" w:after="0" w:line="240" w:lineRule="auto"/>
      </w:pPr>
      <w:rPr>
        <w:b/>
        <w:bCs/>
      </w:rPr>
      <w:tblPr/>
      <w:tcPr>
        <w:tcBorders>
          <w:top w:val="double" w:sz="6" w:space="0" w:color="0094AE" w:themeColor="accent2" w:themeTint="BF"/>
          <w:left w:val="single" w:sz="8" w:space="0" w:color="0094AE" w:themeColor="accent2" w:themeTint="BF"/>
          <w:bottom w:val="single" w:sz="8" w:space="0" w:color="0094AE" w:themeColor="accent2" w:themeTint="BF"/>
          <w:right w:val="single" w:sz="8" w:space="0" w:color="0094AE" w:themeColor="accent2" w:themeTint="BF"/>
          <w:insideH w:val="nil"/>
          <w:insideV w:val="nil"/>
        </w:tcBorders>
      </w:tcPr>
    </w:tblStylePr>
    <w:tblStylePr w:type="firstCol">
      <w:rPr>
        <w:b/>
        <w:bCs/>
      </w:rPr>
    </w:tblStylePr>
    <w:tblStylePr w:type="lastCol">
      <w:rPr>
        <w:b/>
        <w:bCs/>
      </w:rPr>
    </w:tblStylePr>
    <w:tblStylePr w:type="band1Vert">
      <w:tblPr/>
      <w:tcPr>
        <w:shd w:val="clear" w:color="auto" w:fill="90EEFF" w:themeFill="accent2" w:themeFillTint="3F"/>
      </w:tcPr>
    </w:tblStylePr>
    <w:tblStylePr w:type="band1Horz">
      <w:tblPr/>
      <w:tcPr>
        <w:tcBorders>
          <w:insideH w:val="nil"/>
          <w:insideV w:val="nil"/>
        </w:tcBorders>
        <w:shd w:val="clear" w:color="auto" w:fill="90EE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9E6ED7"/>
    <w:tblPr>
      <w:tblStyleRowBandSize w:val="1"/>
      <w:tblStyleColBandSize w:val="1"/>
      <w:tblBorders>
        <w:top w:val="single" w:sz="8" w:space="0" w:color="C1D87D" w:themeColor="accent3" w:themeTint="BF"/>
        <w:left w:val="single" w:sz="8" w:space="0" w:color="C1D87D" w:themeColor="accent3" w:themeTint="BF"/>
        <w:bottom w:val="single" w:sz="8" w:space="0" w:color="C1D87D" w:themeColor="accent3" w:themeTint="BF"/>
        <w:right w:val="single" w:sz="8" w:space="0" w:color="C1D87D" w:themeColor="accent3" w:themeTint="BF"/>
        <w:insideH w:val="single" w:sz="8" w:space="0" w:color="C1D87D" w:themeColor="accent3" w:themeTint="BF"/>
      </w:tblBorders>
    </w:tblPr>
    <w:tblStylePr w:type="firstRow">
      <w:pPr>
        <w:spacing w:before="0" w:after="0" w:line="240" w:lineRule="auto"/>
      </w:pPr>
      <w:rPr>
        <w:b/>
        <w:bCs/>
        <w:color w:val="FFFFFF" w:themeColor="background1"/>
      </w:rPr>
      <w:tblPr/>
      <w:tcPr>
        <w:tcBorders>
          <w:top w:val="single" w:sz="8" w:space="0" w:color="C1D87D" w:themeColor="accent3" w:themeTint="BF"/>
          <w:left w:val="single" w:sz="8" w:space="0" w:color="C1D87D" w:themeColor="accent3" w:themeTint="BF"/>
          <w:bottom w:val="single" w:sz="8" w:space="0" w:color="C1D87D" w:themeColor="accent3" w:themeTint="BF"/>
          <w:right w:val="single" w:sz="8" w:space="0" w:color="C1D87D" w:themeColor="accent3" w:themeTint="BF"/>
          <w:insideH w:val="nil"/>
          <w:insideV w:val="nil"/>
        </w:tcBorders>
        <w:shd w:val="clear" w:color="auto" w:fill="AECC53" w:themeFill="accent3"/>
      </w:tcPr>
    </w:tblStylePr>
    <w:tblStylePr w:type="lastRow">
      <w:pPr>
        <w:spacing w:before="0" w:after="0" w:line="240" w:lineRule="auto"/>
      </w:pPr>
      <w:rPr>
        <w:b/>
        <w:bCs/>
      </w:rPr>
      <w:tblPr/>
      <w:tcPr>
        <w:tcBorders>
          <w:top w:val="double" w:sz="6" w:space="0" w:color="C1D87D" w:themeColor="accent3" w:themeTint="BF"/>
          <w:left w:val="single" w:sz="8" w:space="0" w:color="C1D87D" w:themeColor="accent3" w:themeTint="BF"/>
          <w:bottom w:val="single" w:sz="8" w:space="0" w:color="C1D87D" w:themeColor="accent3" w:themeTint="BF"/>
          <w:right w:val="single" w:sz="8" w:space="0" w:color="C1D87D" w:themeColor="accent3" w:themeTint="BF"/>
          <w:insideH w:val="nil"/>
          <w:insideV w:val="nil"/>
        </w:tcBorders>
      </w:tcPr>
    </w:tblStylePr>
    <w:tblStylePr w:type="firstCol">
      <w:rPr>
        <w:b/>
        <w:bCs/>
      </w:rPr>
    </w:tblStylePr>
    <w:tblStylePr w:type="lastCol">
      <w:rPr>
        <w:b/>
        <w:bCs/>
      </w:rPr>
    </w:tblStylePr>
    <w:tblStylePr w:type="band1Vert">
      <w:tblPr/>
      <w:tcPr>
        <w:shd w:val="clear" w:color="auto" w:fill="EAF2D4" w:themeFill="accent3" w:themeFillTint="3F"/>
      </w:tcPr>
    </w:tblStylePr>
    <w:tblStylePr w:type="band1Horz">
      <w:tblPr/>
      <w:tcPr>
        <w:tcBorders>
          <w:insideH w:val="nil"/>
          <w:insideV w:val="nil"/>
        </w:tcBorders>
        <w:shd w:val="clear" w:color="auto" w:fill="EAF2D4"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9E6ED7"/>
    <w:tblPr>
      <w:tblStyleRowBandSize w:val="1"/>
      <w:tblStyleColBandSize w:val="1"/>
      <w:tblBorders>
        <w:top w:val="single" w:sz="8" w:space="0" w:color="F05949" w:themeColor="accent4" w:themeTint="BF"/>
        <w:left w:val="single" w:sz="8" w:space="0" w:color="F05949" w:themeColor="accent4" w:themeTint="BF"/>
        <w:bottom w:val="single" w:sz="8" w:space="0" w:color="F05949" w:themeColor="accent4" w:themeTint="BF"/>
        <w:right w:val="single" w:sz="8" w:space="0" w:color="F05949" w:themeColor="accent4" w:themeTint="BF"/>
        <w:insideH w:val="single" w:sz="8" w:space="0" w:color="F05949" w:themeColor="accent4" w:themeTint="BF"/>
      </w:tblBorders>
    </w:tblPr>
    <w:tblStylePr w:type="firstRow">
      <w:pPr>
        <w:spacing w:before="0" w:after="0" w:line="240" w:lineRule="auto"/>
      </w:pPr>
      <w:rPr>
        <w:b/>
        <w:bCs/>
        <w:color w:val="FFFFFF" w:themeColor="background1"/>
      </w:rPr>
      <w:tblPr/>
      <w:tcPr>
        <w:tcBorders>
          <w:top w:val="single" w:sz="8" w:space="0" w:color="F05949" w:themeColor="accent4" w:themeTint="BF"/>
          <w:left w:val="single" w:sz="8" w:space="0" w:color="F05949" w:themeColor="accent4" w:themeTint="BF"/>
          <w:bottom w:val="single" w:sz="8" w:space="0" w:color="F05949" w:themeColor="accent4" w:themeTint="BF"/>
          <w:right w:val="single" w:sz="8" w:space="0" w:color="F05949" w:themeColor="accent4" w:themeTint="BF"/>
          <w:insideH w:val="nil"/>
          <w:insideV w:val="nil"/>
        </w:tcBorders>
        <w:shd w:val="clear" w:color="auto" w:fill="E52713" w:themeFill="accent4"/>
      </w:tcPr>
    </w:tblStylePr>
    <w:tblStylePr w:type="lastRow">
      <w:pPr>
        <w:spacing w:before="0" w:after="0" w:line="240" w:lineRule="auto"/>
      </w:pPr>
      <w:rPr>
        <w:b/>
        <w:bCs/>
      </w:rPr>
      <w:tblPr/>
      <w:tcPr>
        <w:tcBorders>
          <w:top w:val="double" w:sz="6" w:space="0" w:color="F05949" w:themeColor="accent4" w:themeTint="BF"/>
          <w:left w:val="single" w:sz="8" w:space="0" w:color="F05949" w:themeColor="accent4" w:themeTint="BF"/>
          <w:bottom w:val="single" w:sz="8" w:space="0" w:color="F05949" w:themeColor="accent4" w:themeTint="BF"/>
          <w:right w:val="single" w:sz="8" w:space="0" w:color="F05949"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C8C2" w:themeFill="accent4" w:themeFillTint="3F"/>
      </w:tcPr>
    </w:tblStylePr>
    <w:tblStylePr w:type="band1Horz">
      <w:tblPr/>
      <w:tcPr>
        <w:tcBorders>
          <w:insideH w:val="nil"/>
          <w:insideV w:val="nil"/>
        </w:tcBorders>
        <w:shd w:val="clear" w:color="auto" w:fill="FAC8C2"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9E6ED7"/>
    <w:tblPr>
      <w:tblStyleRowBandSize w:val="1"/>
      <w:tblStyleColBandSize w:val="1"/>
      <w:tblBorders>
        <w:top w:val="single" w:sz="8" w:space="0" w:color="00F2F4" w:themeColor="accent5" w:themeTint="BF"/>
        <w:left w:val="single" w:sz="8" w:space="0" w:color="00F2F4" w:themeColor="accent5" w:themeTint="BF"/>
        <w:bottom w:val="single" w:sz="8" w:space="0" w:color="00F2F4" w:themeColor="accent5" w:themeTint="BF"/>
        <w:right w:val="single" w:sz="8" w:space="0" w:color="00F2F4" w:themeColor="accent5" w:themeTint="BF"/>
        <w:insideH w:val="single" w:sz="8" w:space="0" w:color="00F2F4" w:themeColor="accent5" w:themeTint="BF"/>
      </w:tblBorders>
    </w:tblPr>
    <w:tblStylePr w:type="firstRow">
      <w:pPr>
        <w:spacing w:before="0" w:after="0" w:line="240" w:lineRule="auto"/>
      </w:pPr>
      <w:rPr>
        <w:b/>
        <w:bCs/>
        <w:color w:val="FFFFFF" w:themeColor="background1"/>
      </w:rPr>
      <w:tblPr/>
      <w:tcPr>
        <w:tcBorders>
          <w:top w:val="single" w:sz="8" w:space="0" w:color="00F2F4" w:themeColor="accent5" w:themeTint="BF"/>
          <w:left w:val="single" w:sz="8" w:space="0" w:color="00F2F4" w:themeColor="accent5" w:themeTint="BF"/>
          <w:bottom w:val="single" w:sz="8" w:space="0" w:color="00F2F4" w:themeColor="accent5" w:themeTint="BF"/>
          <w:right w:val="single" w:sz="8" w:space="0" w:color="00F2F4" w:themeColor="accent5" w:themeTint="BF"/>
          <w:insideH w:val="nil"/>
          <w:insideV w:val="nil"/>
        </w:tcBorders>
        <w:shd w:val="clear" w:color="auto" w:fill="009A9B" w:themeFill="accent5"/>
      </w:tcPr>
    </w:tblStylePr>
    <w:tblStylePr w:type="lastRow">
      <w:pPr>
        <w:spacing w:before="0" w:after="0" w:line="240" w:lineRule="auto"/>
      </w:pPr>
      <w:rPr>
        <w:b/>
        <w:bCs/>
      </w:rPr>
      <w:tblPr/>
      <w:tcPr>
        <w:tcBorders>
          <w:top w:val="double" w:sz="6" w:space="0" w:color="00F2F4" w:themeColor="accent5" w:themeTint="BF"/>
          <w:left w:val="single" w:sz="8" w:space="0" w:color="00F2F4" w:themeColor="accent5" w:themeTint="BF"/>
          <w:bottom w:val="single" w:sz="8" w:space="0" w:color="00F2F4" w:themeColor="accent5" w:themeTint="BF"/>
          <w:right w:val="single" w:sz="8" w:space="0" w:color="00F2F4" w:themeColor="accent5" w:themeTint="BF"/>
          <w:insideH w:val="nil"/>
          <w:insideV w:val="nil"/>
        </w:tcBorders>
      </w:tcPr>
    </w:tblStylePr>
    <w:tblStylePr w:type="firstCol">
      <w:rPr>
        <w:b/>
        <w:bCs/>
      </w:rPr>
    </w:tblStylePr>
    <w:tblStylePr w:type="lastCol">
      <w:rPr>
        <w:b/>
        <w:bCs/>
      </w:rPr>
    </w:tblStylePr>
    <w:tblStylePr w:type="band1Vert">
      <w:tblPr/>
      <w:tcPr>
        <w:shd w:val="clear" w:color="auto" w:fill="A7FEFF" w:themeFill="accent5" w:themeFillTint="3F"/>
      </w:tcPr>
    </w:tblStylePr>
    <w:tblStylePr w:type="band1Horz">
      <w:tblPr/>
      <w:tcPr>
        <w:tcBorders>
          <w:insideH w:val="nil"/>
          <w:insideV w:val="nil"/>
        </w:tcBorders>
        <w:shd w:val="clear" w:color="auto" w:fill="A7FEF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9E6ED7"/>
    <w:tblPr>
      <w:tblStyleRowBandSize w:val="1"/>
      <w:tblStyleColBandSize w:val="1"/>
      <w:tblBorders>
        <w:top w:val="single" w:sz="8" w:space="0" w:color="FFDA40" w:themeColor="accent6" w:themeTint="BF"/>
        <w:left w:val="single" w:sz="8" w:space="0" w:color="FFDA40" w:themeColor="accent6" w:themeTint="BF"/>
        <w:bottom w:val="single" w:sz="8" w:space="0" w:color="FFDA40" w:themeColor="accent6" w:themeTint="BF"/>
        <w:right w:val="single" w:sz="8" w:space="0" w:color="FFDA40" w:themeColor="accent6" w:themeTint="BF"/>
        <w:insideH w:val="single" w:sz="8" w:space="0" w:color="FFDA40" w:themeColor="accent6" w:themeTint="BF"/>
      </w:tblBorders>
    </w:tblPr>
    <w:tblStylePr w:type="firstRow">
      <w:pPr>
        <w:spacing w:before="0" w:after="0" w:line="240" w:lineRule="auto"/>
      </w:pPr>
      <w:rPr>
        <w:b/>
        <w:bCs/>
        <w:color w:val="FFFFFF" w:themeColor="background1"/>
      </w:rPr>
      <w:tblPr/>
      <w:tcPr>
        <w:tcBorders>
          <w:top w:val="single" w:sz="8" w:space="0" w:color="FFDA40" w:themeColor="accent6" w:themeTint="BF"/>
          <w:left w:val="single" w:sz="8" w:space="0" w:color="FFDA40" w:themeColor="accent6" w:themeTint="BF"/>
          <w:bottom w:val="single" w:sz="8" w:space="0" w:color="FFDA40" w:themeColor="accent6" w:themeTint="BF"/>
          <w:right w:val="single" w:sz="8" w:space="0" w:color="FFDA40" w:themeColor="accent6" w:themeTint="BF"/>
          <w:insideH w:val="nil"/>
          <w:insideV w:val="nil"/>
        </w:tcBorders>
        <w:shd w:val="clear" w:color="auto" w:fill="FFCE00" w:themeFill="accent6"/>
      </w:tcPr>
    </w:tblStylePr>
    <w:tblStylePr w:type="lastRow">
      <w:pPr>
        <w:spacing w:before="0" w:after="0" w:line="240" w:lineRule="auto"/>
      </w:pPr>
      <w:rPr>
        <w:b/>
        <w:bCs/>
      </w:rPr>
      <w:tblPr/>
      <w:tcPr>
        <w:tcBorders>
          <w:top w:val="double" w:sz="6" w:space="0" w:color="FFDA40" w:themeColor="accent6" w:themeTint="BF"/>
          <w:left w:val="single" w:sz="8" w:space="0" w:color="FFDA40" w:themeColor="accent6" w:themeTint="BF"/>
          <w:bottom w:val="single" w:sz="8" w:space="0" w:color="FFDA40" w:themeColor="accent6" w:themeTint="BF"/>
          <w:right w:val="single" w:sz="8" w:space="0" w:color="FFDA4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F2C0" w:themeFill="accent6" w:themeFillTint="3F"/>
      </w:tcPr>
    </w:tblStylePr>
    <w:tblStylePr w:type="band1Horz">
      <w:tblPr/>
      <w:tcPr>
        <w:tcBorders>
          <w:insideH w:val="nil"/>
          <w:insideV w:val="nil"/>
        </w:tcBorders>
        <w:shd w:val="clear" w:color="auto" w:fill="FFF2C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9E6ED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9E6ED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76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768" w:themeFill="accent1"/>
      </w:tcPr>
    </w:tblStylePr>
    <w:tblStylePr w:type="lastCol">
      <w:rPr>
        <w:b/>
        <w:bCs/>
        <w:color w:val="FFFFFF" w:themeColor="background1"/>
      </w:rPr>
      <w:tblPr/>
      <w:tcPr>
        <w:tcBorders>
          <w:left w:val="nil"/>
          <w:right w:val="nil"/>
          <w:insideH w:val="nil"/>
          <w:insideV w:val="nil"/>
        </w:tcBorders>
        <w:shd w:val="clear" w:color="auto" w:fill="00876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9E6ED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53E"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353E" w:themeFill="accent2"/>
      </w:tcPr>
    </w:tblStylePr>
    <w:tblStylePr w:type="lastCol">
      <w:rPr>
        <w:b/>
        <w:bCs/>
        <w:color w:val="FFFFFF" w:themeColor="background1"/>
      </w:rPr>
      <w:tblPr/>
      <w:tcPr>
        <w:tcBorders>
          <w:left w:val="nil"/>
          <w:right w:val="nil"/>
          <w:insideH w:val="nil"/>
          <w:insideV w:val="nil"/>
        </w:tcBorders>
        <w:shd w:val="clear" w:color="auto" w:fill="00353E"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9E6ED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ECC5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ECC53" w:themeFill="accent3"/>
      </w:tcPr>
    </w:tblStylePr>
    <w:tblStylePr w:type="lastCol">
      <w:rPr>
        <w:b/>
        <w:bCs/>
        <w:color w:val="FFFFFF" w:themeColor="background1"/>
      </w:rPr>
      <w:tblPr/>
      <w:tcPr>
        <w:tcBorders>
          <w:left w:val="nil"/>
          <w:right w:val="nil"/>
          <w:insideH w:val="nil"/>
          <w:insideV w:val="nil"/>
        </w:tcBorders>
        <w:shd w:val="clear" w:color="auto" w:fill="AECC5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9E6ED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5271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52713" w:themeFill="accent4"/>
      </w:tcPr>
    </w:tblStylePr>
    <w:tblStylePr w:type="lastCol">
      <w:rPr>
        <w:b/>
        <w:bCs/>
        <w:color w:val="FFFFFF" w:themeColor="background1"/>
      </w:rPr>
      <w:tblPr/>
      <w:tcPr>
        <w:tcBorders>
          <w:left w:val="nil"/>
          <w:right w:val="nil"/>
          <w:insideH w:val="nil"/>
          <w:insideV w:val="nil"/>
        </w:tcBorders>
        <w:shd w:val="clear" w:color="auto" w:fill="E5271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9E6ED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A9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A9B" w:themeFill="accent5"/>
      </w:tcPr>
    </w:tblStylePr>
    <w:tblStylePr w:type="lastCol">
      <w:rPr>
        <w:b/>
        <w:bCs/>
        <w:color w:val="FFFFFF" w:themeColor="background1"/>
      </w:rPr>
      <w:tblPr/>
      <w:tcPr>
        <w:tcBorders>
          <w:left w:val="nil"/>
          <w:right w:val="nil"/>
          <w:insideH w:val="nil"/>
          <w:insideV w:val="nil"/>
        </w:tcBorders>
        <w:shd w:val="clear" w:color="auto" w:fill="009A9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9E6ED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E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E00" w:themeFill="accent6"/>
      </w:tcPr>
    </w:tblStylePr>
    <w:tblStylePr w:type="lastCol">
      <w:rPr>
        <w:b/>
        <w:bCs/>
        <w:color w:val="FFFFFF" w:themeColor="background1"/>
      </w:rPr>
      <w:tblPr/>
      <w:tcPr>
        <w:tcBorders>
          <w:left w:val="nil"/>
          <w:right w:val="nil"/>
          <w:insideH w:val="nil"/>
          <w:insideV w:val="nil"/>
        </w:tcBorders>
        <w:shd w:val="clear" w:color="auto" w:fill="FFCE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E6ED7"/>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E6ED7"/>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E6ED7"/>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E6ED7"/>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E6ED7"/>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E6ED7"/>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E6ED7"/>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E6ED7"/>
    <w:pPr>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E6ED7"/>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E6ED7"/>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E6ED7"/>
    <w:pPr>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E6ED7"/>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E6ED7"/>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E6ED7"/>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E6ED7"/>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E6ED7"/>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E6ED7"/>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E6ED7"/>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E6ED7"/>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E6ED7"/>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E6ED7"/>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E6ED7"/>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E6ED7"/>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E6ED7"/>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E6ED7"/>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E6ED7"/>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E6ED7"/>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E6ED7"/>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E6ED7"/>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E6ED7"/>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E6ED7"/>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E6ED7"/>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E6ED7"/>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E6ED7"/>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E6ED7"/>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E6ED7"/>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E6ED7"/>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E6ED7"/>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E6ED7"/>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E6ED7"/>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E6ED7"/>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E6ED7"/>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E6ED7"/>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Header">
    <w:name w:val="header"/>
    <w:basedOn w:val="Normal"/>
    <w:link w:val="HeaderChar"/>
    <w:uiPriority w:val="99"/>
    <w:unhideWhenUsed/>
    <w:rsid w:val="007F6341"/>
    <w:pPr>
      <w:tabs>
        <w:tab w:val="center" w:pos="4513"/>
        <w:tab w:val="right" w:pos="9026"/>
      </w:tabs>
    </w:pPr>
    <w:rPr>
      <w:noProof/>
      <w:sz w:val="14"/>
    </w:rPr>
  </w:style>
  <w:style w:type="character" w:customStyle="1" w:styleId="HeaderChar">
    <w:name w:val="Header Char"/>
    <w:basedOn w:val="DefaultParagraphFont"/>
    <w:link w:val="Header"/>
    <w:uiPriority w:val="99"/>
    <w:rsid w:val="00F66A91"/>
    <w:rPr>
      <w:noProof/>
      <w:kern w:val="18"/>
      <w:sz w:val="14"/>
    </w:rPr>
  </w:style>
  <w:style w:type="paragraph" w:styleId="Footer">
    <w:name w:val="footer"/>
    <w:basedOn w:val="Normal"/>
    <w:link w:val="FooterChar"/>
    <w:uiPriority w:val="99"/>
    <w:unhideWhenUsed/>
    <w:rsid w:val="007F6341"/>
    <w:pPr>
      <w:tabs>
        <w:tab w:val="center" w:pos="4513"/>
        <w:tab w:val="right" w:pos="9026"/>
      </w:tabs>
    </w:pPr>
    <w:rPr>
      <w:noProof/>
      <w:sz w:val="14"/>
    </w:rPr>
  </w:style>
  <w:style w:type="character" w:customStyle="1" w:styleId="FooterChar">
    <w:name w:val="Footer Char"/>
    <w:basedOn w:val="DefaultParagraphFont"/>
    <w:link w:val="Footer"/>
    <w:uiPriority w:val="99"/>
    <w:rsid w:val="00F66A91"/>
    <w:rPr>
      <w:noProof/>
      <w:kern w:val="18"/>
      <w:sz w:val="14"/>
    </w:rPr>
  </w:style>
  <w:style w:type="numbering" w:customStyle="1" w:styleId="AECOMNumbering">
    <w:name w:val="AECOM Numbering"/>
    <w:basedOn w:val="NoList"/>
    <w:uiPriority w:val="99"/>
    <w:semiHidden/>
    <w:unhideWhenUsed/>
    <w:rsid w:val="00FF093C"/>
    <w:pPr>
      <w:numPr>
        <w:numId w:val="11"/>
      </w:numPr>
    </w:pPr>
  </w:style>
  <w:style w:type="numbering" w:customStyle="1" w:styleId="AECOMAppendix">
    <w:name w:val="AECOM Appendix"/>
    <w:uiPriority w:val="99"/>
    <w:semiHidden/>
    <w:unhideWhenUsed/>
    <w:rsid w:val="006A3705"/>
    <w:pPr>
      <w:numPr>
        <w:numId w:val="12"/>
      </w:numPr>
    </w:pPr>
  </w:style>
  <w:style w:type="character" w:customStyle="1" w:styleId="Heading6Char">
    <w:name w:val="Heading 6 Char"/>
    <w:basedOn w:val="DefaultParagraphFont"/>
    <w:link w:val="Heading6"/>
    <w:uiPriority w:val="9"/>
    <w:semiHidden/>
    <w:rsid w:val="00F66A91"/>
    <w:rPr>
      <w:rFonts w:asciiTheme="majorHAnsi" w:eastAsiaTheme="majorEastAsia" w:hAnsiTheme="majorHAnsi" w:cstheme="majorBidi"/>
      <w:i/>
      <w:iCs/>
      <w:color w:val="004333" w:themeColor="accent1" w:themeShade="7F"/>
      <w:sz w:val="24"/>
      <w:szCs w:val="24"/>
      <w:lang w:val="en-IE" w:eastAsia="en-IE"/>
    </w:rPr>
  </w:style>
  <w:style w:type="character" w:customStyle="1" w:styleId="Heading7Char">
    <w:name w:val="Heading 7 Char"/>
    <w:basedOn w:val="DefaultParagraphFont"/>
    <w:link w:val="Heading7"/>
    <w:uiPriority w:val="9"/>
    <w:semiHidden/>
    <w:rsid w:val="00F66A91"/>
    <w:rPr>
      <w:rFonts w:asciiTheme="majorHAnsi" w:eastAsiaTheme="majorEastAsia" w:hAnsiTheme="majorHAnsi" w:cstheme="majorBidi"/>
      <w:i/>
      <w:iCs/>
      <w:color w:val="404040" w:themeColor="text1" w:themeTint="BF"/>
      <w:sz w:val="24"/>
      <w:szCs w:val="24"/>
      <w:lang w:val="en-IE" w:eastAsia="en-IE"/>
    </w:rPr>
  </w:style>
  <w:style w:type="character" w:customStyle="1" w:styleId="Heading8Char">
    <w:name w:val="Heading 8 Char"/>
    <w:basedOn w:val="DefaultParagraphFont"/>
    <w:link w:val="Heading8"/>
    <w:uiPriority w:val="9"/>
    <w:semiHidden/>
    <w:rsid w:val="00F66A91"/>
    <w:rPr>
      <w:rFonts w:asciiTheme="majorHAnsi" w:eastAsiaTheme="majorEastAsia" w:hAnsiTheme="majorHAnsi" w:cstheme="majorBidi"/>
      <w:color w:val="404040" w:themeColor="text1" w:themeTint="BF"/>
      <w:sz w:val="24"/>
      <w:szCs w:val="20"/>
      <w:lang w:val="en-IE" w:eastAsia="en-IE"/>
    </w:rPr>
  </w:style>
  <w:style w:type="character" w:customStyle="1" w:styleId="Heading9Char">
    <w:name w:val="Heading 9 Char"/>
    <w:basedOn w:val="DefaultParagraphFont"/>
    <w:link w:val="Heading9"/>
    <w:uiPriority w:val="9"/>
    <w:semiHidden/>
    <w:rsid w:val="00F66A91"/>
    <w:rPr>
      <w:rFonts w:asciiTheme="majorHAnsi" w:eastAsiaTheme="majorEastAsia" w:hAnsiTheme="majorHAnsi" w:cstheme="majorBidi"/>
      <w:i/>
      <w:iCs/>
      <w:color w:val="404040" w:themeColor="text1" w:themeTint="BF"/>
      <w:sz w:val="24"/>
      <w:szCs w:val="20"/>
      <w:lang w:val="en-IE" w:eastAsia="en-IE"/>
    </w:rPr>
  </w:style>
  <w:style w:type="table" w:customStyle="1" w:styleId="Plaingrid">
    <w:name w:val="Plain grid"/>
    <w:basedOn w:val="TableNormal"/>
    <w:uiPriority w:val="99"/>
    <w:semiHidden/>
    <w:unhideWhenUsed/>
    <w:rsid w:val="00E772F5"/>
    <w:tblPr>
      <w:tblCellMar>
        <w:left w:w="0" w:type="dxa"/>
      </w:tblCellMar>
    </w:tblPr>
  </w:style>
  <w:style w:type="paragraph" w:styleId="Title">
    <w:name w:val="Title"/>
    <w:basedOn w:val="Normal"/>
    <w:next w:val="Normal"/>
    <w:link w:val="TitleChar"/>
    <w:uiPriority w:val="10"/>
    <w:semiHidden/>
    <w:unhideWhenUsed/>
    <w:rsid w:val="00AA75D4"/>
    <w:pPr>
      <w:spacing w:after="300"/>
      <w:contextualSpacing/>
    </w:pPr>
    <w:rPr>
      <w:rFonts w:asciiTheme="majorHAnsi" w:eastAsiaTheme="majorEastAsia" w:hAnsiTheme="majorHAnsi" w:cstheme="majorBidi"/>
      <w:color w:val="FFFFFF" w:themeColor="background1"/>
      <w:kern w:val="28"/>
      <w:sz w:val="48"/>
      <w:szCs w:val="52"/>
    </w:rPr>
  </w:style>
  <w:style w:type="character" w:customStyle="1" w:styleId="TitleChar">
    <w:name w:val="Title Char"/>
    <w:basedOn w:val="DefaultParagraphFont"/>
    <w:link w:val="Title"/>
    <w:uiPriority w:val="10"/>
    <w:semiHidden/>
    <w:rsid w:val="00F66A91"/>
    <w:rPr>
      <w:rFonts w:asciiTheme="majorHAnsi" w:eastAsiaTheme="majorEastAsia" w:hAnsiTheme="majorHAnsi" w:cstheme="majorBidi"/>
      <w:color w:val="FFFFFF" w:themeColor="background1"/>
      <w:kern w:val="28"/>
      <w:sz w:val="48"/>
      <w:szCs w:val="52"/>
    </w:rPr>
  </w:style>
  <w:style w:type="paragraph" w:styleId="TOCHeading">
    <w:name w:val="TOC Heading"/>
    <w:basedOn w:val="Heading1"/>
    <w:next w:val="Normal"/>
    <w:uiPriority w:val="39"/>
    <w:unhideWhenUsed/>
    <w:rsid w:val="000D13AF"/>
    <w:pPr>
      <w:numPr>
        <w:numId w:val="0"/>
      </w:numPr>
      <w:spacing w:line="240" w:lineRule="atLeast"/>
      <w:outlineLvl w:val="9"/>
    </w:pPr>
  </w:style>
  <w:style w:type="paragraph" w:styleId="Subtitle">
    <w:name w:val="Subtitle"/>
    <w:basedOn w:val="Normal"/>
    <w:next w:val="Normal"/>
    <w:link w:val="SubtitleChar"/>
    <w:uiPriority w:val="11"/>
    <w:semiHidden/>
    <w:unhideWhenUsed/>
    <w:rsid w:val="00AA75D4"/>
    <w:pPr>
      <w:numPr>
        <w:ilvl w:val="1"/>
      </w:numPr>
    </w:pPr>
    <w:rPr>
      <w:rFonts w:asciiTheme="majorHAnsi" w:eastAsiaTheme="majorEastAsia" w:hAnsiTheme="majorHAnsi" w:cstheme="majorBidi"/>
      <w:iCs/>
      <w:color w:val="FFFFFF" w:themeColor="background1"/>
    </w:rPr>
  </w:style>
  <w:style w:type="character" w:customStyle="1" w:styleId="SubtitleChar">
    <w:name w:val="Subtitle Char"/>
    <w:basedOn w:val="DefaultParagraphFont"/>
    <w:link w:val="Subtitle"/>
    <w:uiPriority w:val="11"/>
    <w:semiHidden/>
    <w:rsid w:val="00F66A91"/>
    <w:rPr>
      <w:rFonts w:asciiTheme="majorHAnsi" w:eastAsiaTheme="majorEastAsia" w:hAnsiTheme="majorHAnsi" w:cstheme="majorBidi"/>
      <w:iCs/>
      <w:color w:val="FFFFFF" w:themeColor="background1"/>
      <w:kern w:val="18"/>
      <w:sz w:val="24"/>
      <w:szCs w:val="24"/>
    </w:rPr>
  </w:style>
  <w:style w:type="paragraph" w:styleId="TOC1">
    <w:name w:val="toc 1"/>
    <w:basedOn w:val="Normal"/>
    <w:next w:val="Normal"/>
    <w:autoRedefine/>
    <w:uiPriority w:val="39"/>
    <w:unhideWhenUsed/>
    <w:rsid w:val="00595FD8"/>
    <w:pPr>
      <w:tabs>
        <w:tab w:val="right" w:leader="dot" w:pos="9026"/>
      </w:tabs>
      <w:spacing w:after="40"/>
      <w:ind w:left="567" w:right="522" w:hanging="567"/>
    </w:pPr>
    <w:rPr>
      <w:rFonts w:asciiTheme="majorHAnsi" w:hAnsiTheme="majorHAnsi"/>
    </w:rPr>
  </w:style>
  <w:style w:type="paragraph" w:styleId="TOC2">
    <w:name w:val="toc 2"/>
    <w:basedOn w:val="Normal"/>
    <w:next w:val="Normal"/>
    <w:autoRedefine/>
    <w:uiPriority w:val="39"/>
    <w:unhideWhenUsed/>
    <w:rsid w:val="003964F2"/>
    <w:pPr>
      <w:tabs>
        <w:tab w:val="right" w:leader="dot" w:pos="9026"/>
      </w:tabs>
      <w:spacing w:after="40"/>
      <w:ind w:left="1134" w:right="522" w:hanging="567"/>
    </w:pPr>
  </w:style>
  <w:style w:type="paragraph" w:styleId="TOC3">
    <w:name w:val="toc 3"/>
    <w:basedOn w:val="Normal"/>
    <w:next w:val="Normal"/>
    <w:autoRedefine/>
    <w:uiPriority w:val="39"/>
    <w:unhideWhenUsed/>
    <w:rsid w:val="003964F2"/>
    <w:pPr>
      <w:tabs>
        <w:tab w:val="right" w:leader="dot" w:pos="9026"/>
      </w:tabs>
      <w:spacing w:after="40"/>
      <w:ind w:left="1134" w:hanging="567"/>
    </w:pPr>
  </w:style>
  <w:style w:type="paragraph" w:customStyle="1" w:styleId="Coverdata">
    <w:name w:val="Cover data"/>
    <w:basedOn w:val="Subtitle"/>
    <w:uiPriority w:val="1"/>
    <w:semiHidden/>
    <w:unhideWhenUsed/>
    <w:rsid w:val="00DA79BC"/>
    <w:pPr>
      <w:jc w:val="right"/>
    </w:pPr>
    <w:rPr>
      <w:sz w:val="16"/>
    </w:rPr>
  </w:style>
  <w:style w:type="paragraph" w:customStyle="1" w:styleId="Coverfooter">
    <w:name w:val="Cover footer"/>
    <w:basedOn w:val="Coverdata"/>
    <w:uiPriority w:val="1"/>
    <w:semiHidden/>
    <w:unhideWhenUsed/>
    <w:rsid w:val="00B97816"/>
    <w:pPr>
      <w:spacing w:line="200" w:lineRule="atLeast"/>
      <w:jc w:val="left"/>
    </w:pPr>
    <w:rPr>
      <w:rFonts w:asciiTheme="minorHAnsi" w:hAnsiTheme="minorHAnsi"/>
    </w:rPr>
  </w:style>
  <w:style w:type="paragraph" w:customStyle="1" w:styleId="Subtitleheading">
    <w:name w:val="Subtitle heading"/>
    <w:basedOn w:val="Subtitle"/>
    <w:uiPriority w:val="1"/>
    <w:semiHidden/>
    <w:unhideWhenUsed/>
    <w:rsid w:val="00AA75D4"/>
  </w:style>
  <w:style w:type="character" w:styleId="Strong">
    <w:name w:val="Strong"/>
    <w:basedOn w:val="DefaultParagraphFont"/>
    <w:uiPriority w:val="22"/>
    <w:semiHidden/>
    <w:unhideWhenUsed/>
    <w:rsid w:val="00542F08"/>
    <w:rPr>
      <w:b/>
      <w:bCs/>
    </w:rPr>
  </w:style>
  <w:style w:type="paragraph" w:styleId="CommentText">
    <w:name w:val="annotation text"/>
    <w:basedOn w:val="Normal"/>
    <w:link w:val="CommentTextChar"/>
    <w:uiPriority w:val="99"/>
    <w:unhideWhenUsed/>
    <w:rsid w:val="00542F08"/>
    <w:rPr>
      <w:szCs w:val="20"/>
    </w:rPr>
  </w:style>
  <w:style w:type="character" w:customStyle="1" w:styleId="CommentTextChar">
    <w:name w:val="Comment Text Char"/>
    <w:basedOn w:val="DefaultParagraphFont"/>
    <w:link w:val="CommentText"/>
    <w:uiPriority w:val="99"/>
    <w:rsid w:val="00F66A91"/>
    <w:rPr>
      <w:kern w:val="18"/>
      <w:sz w:val="20"/>
      <w:szCs w:val="20"/>
    </w:rPr>
  </w:style>
  <w:style w:type="paragraph" w:styleId="CommentSubject">
    <w:name w:val="annotation subject"/>
    <w:basedOn w:val="CommentText"/>
    <w:next w:val="CommentText"/>
    <w:link w:val="CommentSubjectChar"/>
    <w:uiPriority w:val="99"/>
    <w:semiHidden/>
    <w:unhideWhenUsed/>
    <w:rsid w:val="00542F08"/>
    <w:rPr>
      <w:b/>
      <w:bCs/>
    </w:rPr>
  </w:style>
  <w:style w:type="character" w:customStyle="1" w:styleId="CommentSubjectChar">
    <w:name w:val="Comment Subject Char"/>
    <w:basedOn w:val="CommentTextChar"/>
    <w:link w:val="CommentSubject"/>
    <w:uiPriority w:val="99"/>
    <w:semiHidden/>
    <w:rsid w:val="00F66A91"/>
    <w:rPr>
      <w:b/>
      <w:bCs/>
      <w:kern w:val="18"/>
      <w:sz w:val="20"/>
      <w:szCs w:val="20"/>
    </w:rPr>
  </w:style>
  <w:style w:type="paragraph" w:customStyle="1" w:styleId="Heading">
    <w:name w:val="Heading"/>
    <w:basedOn w:val="BodyText"/>
    <w:next w:val="BodyText"/>
    <w:uiPriority w:val="1"/>
    <w:unhideWhenUsed/>
    <w:rsid w:val="008952D6"/>
    <w:pPr>
      <w:spacing w:after="120"/>
    </w:pPr>
    <w:rPr>
      <w:rFonts w:asciiTheme="majorHAnsi" w:hAnsiTheme="majorHAnsi" w:cstheme="majorHAnsi"/>
      <w:color w:val="000000" w:themeColor="text2"/>
      <w:sz w:val="24"/>
    </w:rPr>
  </w:style>
  <w:style w:type="paragraph" w:styleId="TableofFigures">
    <w:name w:val="table of figures"/>
    <w:basedOn w:val="Normal"/>
    <w:next w:val="Normal"/>
    <w:uiPriority w:val="99"/>
    <w:unhideWhenUsed/>
    <w:rsid w:val="00A34EE8"/>
    <w:pPr>
      <w:tabs>
        <w:tab w:val="right" w:leader="dot" w:pos="9026"/>
      </w:tabs>
    </w:pPr>
  </w:style>
  <w:style w:type="numbering" w:customStyle="1" w:styleId="AECOMSectionnumbering">
    <w:name w:val="AECOM Section numbering"/>
    <w:uiPriority w:val="99"/>
    <w:semiHidden/>
    <w:unhideWhenUsed/>
    <w:rsid w:val="0055609F"/>
    <w:pPr>
      <w:numPr>
        <w:numId w:val="14"/>
      </w:numPr>
    </w:pPr>
  </w:style>
  <w:style w:type="paragraph" w:styleId="BalloonText">
    <w:name w:val="Balloon Text"/>
    <w:basedOn w:val="Normal"/>
    <w:link w:val="BalloonTextChar"/>
    <w:uiPriority w:val="99"/>
    <w:semiHidden/>
    <w:unhideWhenUsed/>
    <w:rsid w:val="00F97FCB"/>
    <w:rPr>
      <w:rFonts w:ascii="Tahoma" w:hAnsi="Tahoma" w:cs="Tahoma"/>
      <w:sz w:val="16"/>
      <w:szCs w:val="16"/>
    </w:rPr>
  </w:style>
  <w:style w:type="character" w:customStyle="1" w:styleId="BalloonTextChar">
    <w:name w:val="Balloon Text Char"/>
    <w:basedOn w:val="DefaultParagraphFont"/>
    <w:link w:val="BalloonText"/>
    <w:uiPriority w:val="99"/>
    <w:semiHidden/>
    <w:rsid w:val="00F66A91"/>
    <w:rPr>
      <w:rFonts w:ascii="Tahoma" w:hAnsi="Tahoma" w:cs="Tahoma"/>
      <w:kern w:val="18"/>
      <w:sz w:val="16"/>
      <w:szCs w:val="16"/>
    </w:rPr>
  </w:style>
  <w:style w:type="paragraph" w:styleId="Quote">
    <w:name w:val="Quote"/>
    <w:basedOn w:val="Normal"/>
    <w:next w:val="Normal"/>
    <w:link w:val="QuoteChar"/>
    <w:uiPriority w:val="22"/>
    <w:qFormat/>
    <w:rsid w:val="00854622"/>
    <w:pPr>
      <w:spacing w:after="120"/>
      <w:ind w:left="851" w:right="567"/>
    </w:pPr>
    <w:rPr>
      <w:i/>
      <w:iCs/>
      <w:color w:val="000000" w:themeColor="text1"/>
    </w:rPr>
  </w:style>
  <w:style w:type="character" w:customStyle="1" w:styleId="QuoteChar">
    <w:name w:val="Quote Char"/>
    <w:basedOn w:val="DefaultParagraphFont"/>
    <w:link w:val="Quote"/>
    <w:uiPriority w:val="20"/>
    <w:semiHidden/>
    <w:rsid w:val="00F66A91"/>
    <w:rPr>
      <w:i/>
      <w:iCs/>
      <w:color w:val="000000" w:themeColor="text1"/>
      <w:kern w:val="18"/>
    </w:rPr>
  </w:style>
  <w:style w:type="numbering" w:styleId="111111">
    <w:name w:val="Outline List 2"/>
    <w:basedOn w:val="NoList"/>
    <w:uiPriority w:val="99"/>
    <w:semiHidden/>
    <w:unhideWhenUsed/>
    <w:rsid w:val="004C255D"/>
    <w:pPr>
      <w:numPr>
        <w:numId w:val="15"/>
      </w:numPr>
    </w:pPr>
  </w:style>
  <w:style w:type="numbering" w:styleId="1ai">
    <w:name w:val="Outline List 1"/>
    <w:basedOn w:val="NoList"/>
    <w:uiPriority w:val="99"/>
    <w:semiHidden/>
    <w:unhideWhenUsed/>
    <w:rsid w:val="004C255D"/>
    <w:pPr>
      <w:numPr>
        <w:numId w:val="16"/>
      </w:numPr>
    </w:pPr>
  </w:style>
  <w:style w:type="numbering" w:styleId="ArticleSection">
    <w:name w:val="Outline List 3"/>
    <w:basedOn w:val="NoList"/>
    <w:uiPriority w:val="99"/>
    <w:semiHidden/>
    <w:unhideWhenUsed/>
    <w:rsid w:val="004C255D"/>
    <w:pPr>
      <w:numPr>
        <w:numId w:val="17"/>
      </w:numPr>
    </w:pPr>
  </w:style>
  <w:style w:type="paragraph" w:styleId="Bibliography">
    <w:name w:val="Bibliography"/>
    <w:basedOn w:val="Normal"/>
    <w:next w:val="Normal"/>
    <w:uiPriority w:val="37"/>
    <w:semiHidden/>
    <w:unhideWhenUsed/>
    <w:rsid w:val="004C255D"/>
  </w:style>
  <w:style w:type="paragraph" w:styleId="BlockText">
    <w:name w:val="Block Text"/>
    <w:basedOn w:val="Normal"/>
    <w:uiPriority w:val="99"/>
    <w:semiHidden/>
    <w:unhideWhenUsed/>
    <w:rsid w:val="004C255D"/>
    <w:pPr>
      <w:pBdr>
        <w:top w:val="single" w:sz="2" w:space="10" w:color="008768" w:themeColor="accent1" w:shadow="1" w:frame="1"/>
        <w:left w:val="single" w:sz="2" w:space="10" w:color="008768" w:themeColor="accent1" w:shadow="1" w:frame="1"/>
        <w:bottom w:val="single" w:sz="2" w:space="10" w:color="008768" w:themeColor="accent1" w:shadow="1" w:frame="1"/>
        <w:right w:val="single" w:sz="2" w:space="10" w:color="008768" w:themeColor="accent1" w:shadow="1" w:frame="1"/>
      </w:pBdr>
      <w:ind w:left="1152" w:right="1152"/>
    </w:pPr>
    <w:rPr>
      <w:rFonts w:eastAsiaTheme="minorEastAsia"/>
      <w:i/>
      <w:iCs/>
      <w:color w:val="008768" w:themeColor="accent1"/>
    </w:rPr>
  </w:style>
  <w:style w:type="paragraph" w:styleId="BodyText2">
    <w:name w:val="Body Text 2"/>
    <w:basedOn w:val="Normal"/>
    <w:link w:val="BodyText2Char"/>
    <w:uiPriority w:val="99"/>
    <w:semiHidden/>
    <w:unhideWhenUsed/>
    <w:rsid w:val="004C255D"/>
    <w:pPr>
      <w:spacing w:after="120" w:line="480" w:lineRule="auto"/>
    </w:pPr>
  </w:style>
  <w:style w:type="character" w:customStyle="1" w:styleId="BodyText2Char">
    <w:name w:val="Body Text 2 Char"/>
    <w:basedOn w:val="DefaultParagraphFont"/>
    <w:link w:val="BodyText2"/>
    <w:uiPriority w:val="99"/>
    <w:semiHidden/>
    <w:rsid w:val="00F66A91"/>
    <w:rPr>
      <w:kern w:val="18"/>
    </w:rPr>
  </w:style>
  <w:style w:type="paragraph" w:styleId="BodyText3">
    <w:name w:val="Body Text 3"/>
    <w:basedOn w:val="Normal"/>
    <w:link w:val="BodyText3Char"/>
    <w:uiPriority w:val="99"/>
    <w:semiHidden/>
    <w:unhideWhenUsed/>
    <w:rsid w:val="004C255D"/>
    <w:pPr>
      <w:spacing w:after="120"/>
    </w:pPr>
    <w:rPr>
      <w:sz w:val="16"/>
      <w:szCs w:val="16"/>
    </w:rPr>
  </w:style>
  <w:style w:type="character" w:customStyle="1" w:styleId="BodyText3Char">
    <w:name w:val="Body Text 3 Char"/>
    <w:basedOn w:val="DefaultParagraphFont"/>
    <w:link w:val="BodyText3"/>
    <w:uiPriority w:val="99"/>
    <w:semiHidden/>
    <w:rsid w:val="00F66A91"/>
    <w:rPr>
      <w:kern w:val="18"/>
      <w:sz w:val="16"/>
      <w:szCs w:val="16"/>
    </w:rPr>
  </w:style>
  <w:style w:type="paragraph" w:styleId="BodyTextFirstIndent">
    <w:name w:val="Body Text First Indent"/>
    <w:basedOn w:val="BodyText"/>
    <w:link w:val="BodyTextFirstIndentChar"/>
    <w:uiPriority w:val="99"/>
    <w:semiHidden/>
    <w:unhideWhenUsed/>
    <w:rsid w:val="004C255D"/>
    <w:pPr>
      <w:spacing w:after="0"/>
      <w:ind w:firstLine="360"/>
    </w:pPr>
  </w:style>
  <w:style w:type="character" w:customStyle="1" w:styleId="BodyTextFirstIndentChar">
    <w:name w:val="Body Text First Indent Char"/>
    <w:basedOn w:val="BodyTextChar"/>
    <w:link w:val="BodyTextFirstIndent"/>
    <w:uiPriority w:val="99"/>
    <w:semiHidden/>
    <w:rsid w:val="00F66A91"/>
    <w:rPr>
      <w:rFonts w:ascii="Calibri" w:hAnsi="Calibri"/>
      <w:kern w:val="18"/>
      <w:sz w:val="20"/>
      <w:szCs w:val="21"/>
    </w:rPr>
  </w:style>
  <w:style w:type="paragraph" w:styleId="BodyTextIndent">
    <w:name w:val="Body Text Indent"/>
    <w:basedOn w:val="Normal"/>
    <w:link w:val="BodyTextIndentChar"/>
    <w:uiPriority w:val="99"/>
    <w:semiHidden/>
    <w:unhideWhenUsed/>
    <w:rsid w:val="004C255D"/>
    <w:pPr>
      <w:spacing w:after="120"/>
      <w:ind w:left="283"/>
    </w:pPr>
  </w:style>
  <w:style w:type="character" w:customStyle="1" w:styleId="BodyTextIndentChar">
    <w:name w:val="Body Text Indent Char"/>
    <w:basedOn w:val="DefaultParagraphFont"/>
    <w:link w:val="BodyTextIndent"/>
    <w:uiPriority w:val="99"/>
    <w:semiHidden/>
    <w:rsid w:val="00F66A91"/>
    <w:rPr>
      <w:kern w:val="18"/>
    </w:rPr>
  </w:style>
  <w:style w:type="paragraph" w:styleId="BodyTextFirstIndent2">
    <w:name w:val="Body Text First Indent 2"/>
    <w:basedOn w:val="BodyTextIndent"/>
    <w:link w:val="BodyTextFirstIndent2Char"/>
    <w:uiPriority w:val="99"/>
    <w:semiHidden/>
    <w:unhideWhenUsed/>
    <w:rsid w:val="004C255D"/>
    <w:pPr>
      <w:spacing w:after="0"/>
      <w:ind w:left="360" w:firstLine="360"/>
    </w:pPr>
  </w:style>
  <w:style w:type="character" w:customStyle="1" w:styleId="BodyTextFirstIndent2Char">
    <w:name w:val="Body Text First Indent 2 Char"/>
    <w:basedOn w:val="BodyTextIndentChar"/>
    <w:link w:val="BodyTextFirstIndent2"/>
    <w:uiPriority w:val="99"/>
    <w:semiHidden/>
    <w:rsid w:val="00F66A91"/>
    <w:rPr>
      <w:kern w:val="18"/>
    </w:rPr>
  </w:style>
  <w:style w:type="paragraph" w:styleId="BodyTextIndent2">
    <w:name w:val="Body Text Indent 2"/>
    <w:basedOn w:val="Normal"/>
    <w:link w:val="BodyTextIndent2Char"/>
    <w:uiPriority w:val="99"/>
    <w:semiHidden/>
    <w:unhideWhenUsed/>
    <w:rsid w:val="004C255D"/>
    <w:pPr>
      <w:spacing w:after="120" w:line="480" w:lineRule="auto"/>
      <w:ind w:left="283"/>
    </w:pPr>
  </w:style>
  <w:style w:type="character" w:customStyle="1" w:styleId="BodyTextIndent2Char">
    <w:name w:val="Body Text Indent 2 Char"/>
    <w:basedOn w:val="DefaultParagraphFont"/>
    <w:link w:val="BodyTextIndent2"/>
    <w:uiPriority w:val="99"/>
    <w:semiHidden/>
    <w:rsid w:val="00F66A91"/>
    <w:rPr>
      <w:kern w:val="18"/>
    </w:rPr>
  </w:style>
  <w:style w:type="paragraph" w:styleId="BodyTextIndent3">
    <w:name w:val="Body Text Indent 3"/>
    <w:basedOn w:val="Normal"/>
    <w:link w:val="BodyTextIndent3Char"/>
    <w:uiPriority w:val="99"/>
    <w:semiHidden/>
    <w:unhideWhenUsed/>
    <w:rsid w:val="004C255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66A91"/>
    <w:rPr>
      <w:kern w:val="18"/>
      <w:sz w:val="16"/>
      <w:szCs w:val="16"/>
    </w:rPr>
  </w:style>
  <w:style w:type="character" w:styleId="BookTitle">
    <w:name w:val="Book Title"/>
    <w:basedOn w:val="DefaultParagraphFont"/>
    <w:uiPriority w:val="33"/>
    <w:semiHidden/>
    <w:unhideWhenUsed/>
    <w:rsid w:val="004C255D"/>
    <w:rPr>
      <w:b/>
      <w:bCs/>
      <w:smallCaps/>
      <w:spacing w:val="5"/>
    </w:rPr>
  </w:style>
  <w:style w:type="paragraph" w:styleId="Closing">
    <w:name w:val="Closing"/>
    <w:basedOn w:val="Normal"/>
    <w:link w:val="ClosingChar"/>
    <w:uiPriority w:val="99"/>
    <w:semiHidden/>
    <w:unhideWhenUsed/>
    <w:rsid w:val="004C255D"/>
    <w:pPr>
      <w:ind w:left="4252"/>
    </w:pPr>
  </w:style>
  <w:style w:type="character" w:customStyle="1" w:styleId="ClosingChar">
    <w:name w:val="Closing Char"/>
    <w:basedOn w:val="DefaultParagraphFont"/>
    <w:link w:val="Closing"/>
    <w:uiPriority w:val="99"/>
    <w:semiHidden/>
    <w:rsid w:val="00F66A91"/>
    <w:rPr>
      <w:kern w:val="18"/>
    </w:rPr>
  </w:style>
  <w:style w:type="character" w:styleId="CommentReference">
    <w:name w:val="annotation reference"/>
    <w:basedOn w:val="DefaultParagraphFont"/>
    <w:uiPriority w:val="99"/>
    <w:semiHidden/>
    <w:unhideWhenUsed/>
    <w:rsid w:val="004C255D"/>
    <w:rPr>
      <w:sz w:val="16"/>
      <w:szCs w:val="16"/>
    </w:rPr>
  </w:style>
  <w:style w:type="paragraph" w:styleId="Date">
    <w:name w:val="Date"/>
    <w:basedOn w:val="Normal"/>
    <w:next w:val="Normal"/>
    <w:link w:val="DateChar"/>
    <w:uiPriority w:val="99"/>
    <w:semiHidden/>
    <w:unhideWhenUsed/>
    <w:rsid w:val="004C255D"/>
  </w:style>
  <w:style w:type="character" w:customStyle="1" w:styleId="DateChar">
    <w:name w:val="Date Char"/>
    <w:basedOn w:val="DefaultParagraphFont"/>
    <w:link w:val="Date"/>
    <w:uiPriority w:val="99"/>
    <w:semiHidden/>
    <w:rsid w:val="00F66A91"/>
    <w:rPr>
      <w:kern w:val="18"/>
    </w:rPr>
  </w:style>
  <w:style w:type="paragraph" w:styleId="DocumentMap">
    <w:name w:val="Document Map"/>
    <w:basedOn w:val="Normal"/>
    <w:link w:val="DocumentMapChar"/>
    <w:uiPriority w:val="99"/>
    <w:semiHidden/>
    <w:unhideWhenUsed/>
    <w:rsid w:val="004C255D"/>
    <w:rPr>
      <w:rFonts w:ascii="Tahoma" w:hAnsi="Tahoma" w:cs="Tahoma"/>
      <w:sz w:val="16"/>
      <w:szCs w:val="16"/>
    </w:rPr>
  </w:style>
  <w:style w:type="character" w:customStyle="1" w:styleId="DocumentMapChar">
    <w:name w:val="Document Map Char"/>
    <w:basedOn w:val="DefaultParagraphFont"/>
    <w:link w:val="DocumentMap"/>
    <w:uiPriority w:val="99"/>
    <w:semiHidden/>
    <w:rsid w:val="00F66A91"/>
    <w:rPr>
      <w:rFonts w:ascii="Tahoma" w:hAnsi="Tahoma" w:cs="Tahoma"/>
      <w:kern w:val="18"/>
      <w:sz w:val="16"/>
      <w:szCs w:val="16"/>
    </w:rPr>
  </w:style>
  <w:style w:type="paragraph" w:styleId="E-mailSignature">
    <w:name w:val="E-mail Signature"/>
    <w:basedOn w:val="Normal"/>
    <w:link w:val="E-mailSignatureChar"/>
    <w:uiPriority w:val="99"/>
    <w:semiHidden/>
    <w:unhideWhenUsed/>
    <w:rsid w:val="004C255D"/>
  </w:style>
  <w:style w:type="character" w:customStyle="1" w:styleId="E-mailSignatureChar">
    <w:name w:val="E-mail Signature Char"/>
    <w:basedOn w:val="DefaultParagraphFont"/>
    <w:link w:val="E-mailSignature"/>
    <w:uiPriority w:val="99"/>
    <w:semiHidden/>
    <w:rsid w:val="00F66A91"/>
    <w:rPr>
      <w:kern w:val="18"/>
    </w:rPr>
  </w:style>
  <w:style w:type="character" w:styleId="Emphasis">
    <w:name w:val="Emphasis"/>
    <w:basedOn w:val="DefaultParagraphFont"/>
    <w:uiPriority w:val="20"/>
    <w:semiHidden/>
    <w:unhideWhenUsed/>
    <w:rsid w:val="004C255D"/>
    <w:rPr>
      <w:i/>
      <w:iCs/>
    </w:rPr>
  </w:style>
  <w:style w:type="character" w:styleId="EndnoteReference">
    <w:name w:val="endnote reference"/>
    <w:basedOn w:val="DefaultParagraphFont"/>
    <w:uiPriority w:val="99"/>
    <w:semiHidden/>
    <w:unhideWhenUsed/>
    <w:rsid w:val="004C255D"/>
    <w:rPr>
      <w:vertAlign w:val="superscript"/>
    </w:rPr>
  </w:style>
  <w:style w:type="paragraph" w:styleId="EndnoteText">
    <w:name w:val="endnote text"/>
    <w:basedOn w:val="Normal"/>
    <w:link w:val="EndnoteTextChar"/>
    <w:uiPriority w:val="99"/>
    <w:semiHidden/>
    <w:unhideWhenUsed/>
    <w:rsid w:val="004C255D"/>
    <w:rPr>
      <w:szCs w:val="20"/>
    </w:rPr>
  </w:style>
  <w:style w:type="character" w:customStyle="1" w:styleId="EndnoteTextChar">
    <w:name w:val="Endnote Text Char"/>
    <w:basedOn w:val="DefaultParagraphFont"/>
    <w:link w:val="EndnoteText"/>
    <w:uiPriority w:val="99"/>
    <w:semiHidden/>
    <w:rsid w:val="00F66A91"/>
    <w:rPr>
      <w:kern w:val="18"/>
      <w:sz w:val="20"/>
      <w:szCs w:val="20"/>
    </w:rPr>
  </w:style>
  <w:style w:type="paragraph" w:styleId="EnvelopeAddress">
    <w:name w:val="envelope address"/>
    <w:basedOn w:val="Normal"/>
    <w:uiPriority w:val="99"/>
    <w:semiHidden/>
    <w:unhideWhenUsed/>
    <w:rsid w:val="004C255D"/>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4C255D"/>
    <w:rPr>
      <w:rFonts w:asciiTheme="majorHAnsi" w:eastAsiaTheme="majorEastAsia" w:hAnsiTheme="majorHAnsi" w:cstheme="majorBidi"/>
      <w:szCs w:val="20"/>
    </w:rPr>
  </w:style>
  <w:style w:type="character" w:styleId="HTMLAcronym">
    <w:name w:val="HTML Acronym"/>
    <w:basedOn w:val="DefaultParagraphFont"/>
    <w:uiPriority w:val="99"/>
    <w:semiHidden/>
    <w:unhideWhenUsed/>
    <w:rsid w:val="004C255D"/>
  </w:style>
  <w:style w:type="paragraph" w:styleId="HTMLAddress">
    <w:name w:val="HTML Address"/>
    <w:basedOn w:val="Normal"/>
    <w:link w:val="HTMLAddressChar"/>
    <w:uiPriority w:val="99"/>
    <w:semiHidden/>
    <w:unhideWhenUsed/>
    <w:rsid w:val="004C255D"/>
    <w:rPr>
      <w:i/>
      <w:iCs/>
    </w:rPr>
  </w:style>
  <w:style w:type="character" w:customStyle="1" w:styleId="HTMLAddressChar">
    <w:name w:val="HTML Address Char"/>
    <w:basedOn w:val="DefaultParagraphFont"/>
    <w:link w:val="HTMLAddress"/>
    <w:uiPriority w:val="99"/>
    <w:semiHidden/>
    <w:rsid w:val="00F66A91"/>
    <w:rPr>
      <w:i/>
      <w:iCs/>
      <w:kern w:val="18"/>
    </w:rPr>
  </w:style>
  <w:style w:type="character" w:styleId="HTMLCite">
    <w:name w:val="HTML Cite"/>
    <w:basedOn w:val="DefaultParagraphFont"/>
    <w:uiPriority w:val="99"/>
    <w:semiHidden/>
    <w:unhideWhenUsed/>
    <w:rsid w:val="004C255D"/>
    <w:rPr>
      <w:i/>
      <w:iCs/>
    </w:rPr>
  </w:style>
  <w:style w:type="character" w:styleId="HTMLCode">
    <w:name w:val="HTML Code"/>
    <w:basedOn w:val="DefaultParagraphFont"/>
    <w:uiPriority w:val="99"/>
    <w:semiHidden/>
    <w:unhideWhenUsed/>
    <w:rsid w:val="004C255D"/>
    <w:rPr>
      <w:rFonts w:ascii="Consolas" w:hAnsi="Consolas"/>
      <w:sz w:val="20"/>
      <w:szCs w:val="20"/>
    </w:rPr>
  </w:style>
  <w:style w:type="character" w:styleId="HTMLDefinition">
    <w:name w:val="HTML Definition"/>
    <w:basedOn w:val="DefaultParagraphFont"/>
    <w:uiPriority w:val="99"/>
    <w:semiHidden/>
    <w:unhideWhenUsed/>
    <w:rsid w:val="004C255D"/>
    <w:rPr>
      <w:i/>
      <w:iCs/>
    </w:rPr>
  </w:style>
  <w:style w:type="character" w:styleId="HTMLKeyboard">
    <w:name w:val="HTML Keyboard"/>
    <w:basedOn w:val="DefaultParagraphFont"/>
    <w:uiPriority w:val="99"/>
    <w:semiHidden/>
    <w:unhideWhenUsed/>
    <w:rsid w:val="004C255D"/>
    <w:rPr>
      <w:rFonts w:ascii="Consolas" w:hAnsi="Consolas"/>
      <w:sz w:val="20"/>
      <w:szCs w:val="20"/>
    </w:rPr>
  </w:style>
  <w:style w:type="paragraph" w:styleId="HTMLPreformatted">
    <w:name w:val="HTML Preformatted"/>
    <w:basedOn w:val="Normal"/>
    <w:link w:val="HTMLPreformattedChar"/>
    <w:uiPriority w:val="99"/>
    <w:semiHidden/>
    <w:unhideWhenUsed/>
    <w:rsid w:val="004C255D"/>
    <w:rPr>
      <w:rFonts w:ascii="Consolas" w:hAnsi="Consolas"/>
      <w:szCs w:val="20"/>
    </w:rPr>
  </w:style>
  <w:style w:type="character" w:customStyle="1" w:styleId="HTMLPreformattedChar">
    <w:name w:val="HTML Preformatted Char"/>
    <w:basedOn w:val="DefaultParagraphFont"/>
    <w:link w:val="HTMLPreformatted"/>
    <w:uiPriority w:val="99"/>
    <w:semiHidden/>
    <w:rsid w:val="00F66A91"/>
    <w:rPr>
      <w:rFonts w:ascii="Consolas" w:hAnsi="Consolas"/>
      <w:kern w:val="18"/>
      <w:sz w:val="20"/>
      <w:szCs w:val="20"/>
    </w:rPr>
  </w:style>
  <w:style w:type="character" w:styleId="HTMLSample">
    <w:name w:val="HTML Sample"/>
    <w:basedOn w:val="DefaultParagraphFont"/>
    <w:uiPriority w:val="99"/>
    <w:semiHidden/>
    <w:unhideWhenUsed/>
    <w:rsid w:val="004C255D"/>
    <w:rPr>
      <w:rFonts w:ascii="Consolas" w:hAnsi="Consolas"/>
      <w:sz w:val="24"/>
      <w:szCs w:val="24"/>
    </w:rPr>
  </w:style>
  <w:style w:type="character" w:styleId="HTMLTypewriter">
    <w:name w:val="HTML Typewriter"/>
    <w:basedOn w:val="DefaultParagraphFont"/>
    <w:uiPriority w:val="99"/>
    <w:semiHidden/>
    <w:unhideWhenUsed/>
    <w:rsid w:val="004C255D"/>
    <w:rPr>
      <w:rFonts w:ascii="Consolas" w:hAnsi="Consolas"/>
      <w:sz w:val="20"/>
      <w:szCs w:val="20"/>
    </w:rPr>
  </w:style>
  <w:style w:type="character" w:styleId="HTMLVariable">
    <w:name w:val="HTML Variable"/>
    <w:basedOn w:val="DefaultParagraphFont"/>
    <w:uiPriority w:val="99"/>
    <w:semiHidden/>
    <w:unhideWhenUsed/>
    <w:rsid w:val="004C255D"/>
    <w:rPr>
      <w:i/>
      <w:iCs/>
    </w:rPr>
  </w:style>
  <w:style w:type="paragraph" w:styleId="Index1">
    <w:name w:val="index 1"/>
    <w:basedOn w:val="Normal"/>
    <w:next w:val="Normal"/>
    <w:autoRedefine/>
    <w:uiPriority w:val="99"/>
    <w:semiHidden/>
    <w:unhideWhenUsed/>
    <w:rsid w:val="004C255D"/>
    <w:pPr>
      <w:ind w:left="180" w:hanging="180"/>
    </w:pPr>
  </w:style>
  <w:style w:type="paragraph" w:styleId="Index2">
    <w:name w:val="index 2"/>
    <w:basedOn w:val="Normal"/>
    <w:next w:val="Normal"/>
    <w:autoRedefine/>
    <w:uiPriority w:val="99"/>
    <w:semiHidden/>
    <w:unhideWhenUsed/>
    <w:rsid w:val="004C255D"/>
    <w:pPr>
      <w:ind w:left="360" w:hanging="180"/>
    </w:pPr>
  </w:style>
  <w:style w:type="paragraph" w:styleId="Index3">
    <w:name w:val="index 3"/>
    <w:basedOn w:val="Normal"/>
    <w:next w:val="Normal"/>
    <w:autoRedefine/>
    <w:uiPriority w:val="99"/>
    <w:semiHidden/>
    <w:unhideWhenUsed/>
    <w:rsid w:val="004C255D"/>
    <w:pPr>
      <w:ind w:left="540" w:hanging="180"/>
    </w:pPr>
  </w:style>
  <w:style w:type="paragraph" w:styleId="Index4">
    <w:name w:val="index 4"/>
    <w:basedOn w:val="Normal"/>
    <w:next w:val="Normal"/>
    <w:autoRedefine/>
    <w:uiPriority w:val="99"/>
    <w:semiHidden/>
    <w:unhideWhenUsed/>
    <w:rsid w:val="004C255D"/>
    <w:pPr>
      <w:ind w:left="720" w:hanging="180"/>
    </w:pPr>
  </w:style>
  <w:style w:type="paragraph" w:styleId="Index5">
    <w:name w:val="index 5"/>
    <w:basedOn w:val="Normal"/>
    <w:next w:val="Normal"/>
    <w:autoRedefine/>
    <w:uiPriority w:val="99"/>
    <w:semiHidden/>
    <w:unhideWhenUsed/>
    <w:rsid w:val="004C255D"/>
    <w:pPr>
      <w:ind w:left="900" w:hanging="180"/>
    </w:pPr>
  </w:style>
  <w:style w:type="paragraph" w:styleId="Index6">
    <w:name w:val="index 6"/>
    <w:basedOn w:val="Normal"/>
    <w:next w:val="Normal"/>
    <w:autoRedefine/>
    <w:uiPriority w:val="99"/>
    <w:semiHidden/>
    <w:unhideWhenUsed/>
    <w:rsid w:val="004C255D"/>
    <w:pPr>
      <w:ind w:left="1080" w:hanging="180"/>
    </w:pPr>
  </w:style>
  <w:style w:type="paragraph" w:styleId="Index7">
    <w:name w:val="index 7"/>
    <w:basedOn w:val="Normal"/>
    <w:next w:val="Normal"/>
    <w:autoRedefine/>
    <w:uiPriority w:val="99"/>
    <w:semiHidden/>
    <w:unhideWhenUsed/>
    <w:rsid w:val="004C255D"/>
    <w:pPr>
      <w:ind w:left="1260" w:hanging="180"/>
    </w:pPr>
  </w:style>
  <w:style w:type="paragraph" w:styleId="Index8">
    <w:name w:val="index 8"/>
    <w:basedOn w:val="Normal"/>
    <w:next w:val="Normal"/>
    <w:autoRedefine/>
    <w:uiPriority w:val="99"/>
    <w:semiHidden/>
    <w:unhideWhenUsed/>
    <w:rsid w:val="004C255D"/>
    <w:pPr>
      <w:ind w:left="1440" w:hanging="180"/>
    </w:pPr>
  </w:style>
  <w:style w:type="paragraph" w:styleId="Index9">
    <w:name w:val="index 9"/>
    <w:basedOn w:val="Normal"/>
    <w:next w:val="Normal"/>
    <w:autoRedefine/>
    <w:uiPriority w:val="99"/>
    <w:semiHidden/>
    <w:unhideWhenUsed/>
    <w:rsid w:val="004C255D"/>
    <w:pPr>
      <w:ind w:left="1620" w:hanging="180"/>
    </w:pPr>
  </w:style>
  <w:style w:type="paragraph" w:styleId="IndexHeading">
    <w:name w:val="index heading"/>
    <w:basedOn w:val="Normal"/>
    <w:next w:val="Index1"/>
    <w:uiPriority w:val="99"/>
    <w:semiHidden/>
    <w:unhideWhenUsed/>
    <w:rsid w:val="004C255D"/>
    <w:rPr>
      <w:rFonts w:asciiTheme="majorHAnsi" w:eastAsiaTheme="majorEastAsia" w:hAnsiTheme="majorHAnsi" w:cstheme="majorBidi"/>
      <w:b/>
      <w:bCs/>
    </w:rPr>
  </w:style>
  <w:style w:type="character" w:styleId="IntenseEmphasis">
    <w:name w:val="Intense Emphasis"/>
    <w:basedOn w:val="DefaultParagraphFont"/>
    <w:uiPriority w:val="21"/>
    <w:semiHidden/>
    <w:unhideWhenUsed/>
    <w:rsid w:val="004C255D"/>
    <w:rPr>
      <w:b/>
      <w:bCs/>
      <w:i/>
      <w:iCs/>
      <w:color w:val="008768" w:themeColor="accent1"/>
    </w:rPr>
  </w:style>
  <w:style w:type="paragraph" w:styleId="IntenseQuote">
    <w:name w:val="Intense Quote"/>
    <w:basedOn w:val="Normal"/>
    <w:next w:val="Normal"/>
    <w:link w:val="IntenseQuoteChar"/>
    <w:uiPriority w:val="30"/>
    <w:semiHidden/>
    <w:unhideWhenUsed/>
    <w:rsid w:val="004C255D"/>
    <w:pPr>
      <w:pBdr>
        <w:bottom w:val="single" w:sz="4" w:space="4" w:color="008768" w:themeColor="accent1"/>
      </w:pBdr>
      <w:spacing w:before="200" w:after="280"/>
      <w:ind w:left="936" w:right="936"/>
    </w:pPr>
    <w:rPr>
      <w:b/>
      <w:bCs/>
      <w:i/>
      <w:iCs/>
      <w:color w:val="008768" w:themeColor="accent1"/>
    </w:rPr>
  </w:style>
  <w:style w:type="character" w:customStyle="1" w:styleId="IntenseQuoteChar">
    <w:name w:val="Intense Quote Char"/>
    <w:basedOn w:val="DefaultParagraphFont"/>
    <w:link w:val="IntenseQuote"/>
    <w:uiPriority w:val="30"/>
    <w:semiHidden/>
    <w:rsid w:val="00F66A91"/>
    <w:rPr>
      <w:b/>
      <w:bCs/>
      <w:i/>
      <w:iCs/>
      <w:color w:val="008768" w:themeColor="accent1"/>
      <w:kern w:val="18"/>
    </w:rPr>
  </w:style>
  <w:style w:type="character" w:styleId="IntenseReference">
    <w:name w:val="Intense Reference"/>
    <w:basedOn w:val="DefaultParagraphFont"/>
    <w:uiPriority w:val="32"/>
    <w:semiHidden/>
    <w:unhideWhenUsed/>
    <w:rsid w:val="004C255D"/>
    <w:rPr>
      <w:b/>
      <w:bCs/>
      <w:smallCaps/>
      <w:color w:val="00353E" w:themeColor="accent2"/>
      <w:spacing w:val="5"/>
      <w:u w:val="single"/>
    </w:rPr>
  </w:style>
  <w:style w:type="character" w:styleId="LineNumber">
    <w:name w:val="line number"/>
    <w:basedOn w:val="DefaultParagraphFont"/>
    <w:uiPriority w:val="99"/>
    <w:semiHidden/>
    <w:unhideWhenUsed/>
    <w:rsid w:val="004C255D"/>
  </w:style>
  <w:style w:type="paragraph" w:styleId="List">
    <w:name w:val="List"/>
    <w:basedOn w:val="Normal"/>
    <w:uiPriority w:val="99"/>
    <w:semiHidden/>
    <w:unhideWhenUsed/>
    <w:rsid w:val="004C255D"/>
    <w:pPr>
      <w:ind w:left="283" w:hanging="283"/>
      <w:contextualSpacing/>
    </w:pPr>
  </w:style>
  <w:style w:type="paragraph" w:styleId="List2">
    <w:name w:val="List 2"/>
    <w:basedOn w:val="Normal"/>
    <w:uiPriority w:val="99"/>
    <w:semiHidden/>
    <w:unhideWhenUsed/>
    <w:rsid w:val="004C255D"/>
    <w:pPr>
      <w:ind w:left="566" w:hanging="283"/>
      <w:contextualSpacing/>
    </w:pPr>
  </w:style>
  <w:style w:type="paragraph" w:styleId="List3">
    <w:name w:val="List 3"/>
    <w:basedOn w:val="Normal"/>
    <w:uiPriority w:val="99"/>
    <w:semiHidden/>
    <w:unhideWhenUsed/>
    <w:rsid w:val="004C255D"/>
    <w:pPr>
      <w:ind w:left="849" w:hanging="283"/>
      <w:contextualSpacing/>
    </w:pPr>
  </w:style>
  <w:style w:type="paragraph" w:styleId="List4">
    <w:name w:val="List 4"/>
    <w:basedOn w:val="Normal"/>
    <w:uiPriority w:val="99"/>
    <w:semiHidden/>
    <w:unhideWhenUsed/>
    <w:rsid w:val="004C255D"/>
    <w:pPr>
      <w:ind w:left="1132" w:hanging="283"/>
      <w:contextualSpacing/>
    </w:pPr>
  </w:style>
  <w:style w:type="paragraph" w:styleId="List5">
    <w:name w:val="List 5"/>
    <w:basedOn w:val="Normal"/>
    <w:uiPriority w:val="99"/>
    <w:semiHidden/>
    <w:unhideWhenUsed/>
    <w:rsid w:val="004C255D"/>
    <w:pPr>
      <w:ind w:left="1415" w:hanging="283"/>
      <w:contextualSpacing/>
    </w:pPr>
  </w:style>
  <w:style w:type="paragraph" w:styleId="ListBullet4">
    <w:name w:val="List Bullet 4"/>
    <w:basedOn w:val="Normal"/>
    <w:uiPriority w:val="99"/>
    <w:semiHidden/>
    <w:unhideWhenUsed/>
    <w:rsid w:val="004C255D"/>
    <w:pPr>
      <w:numPr>
        <w:numId w:val="7"/>
      </w:numPr>
      <w:contextualSpacing/>
    </w:pPr>
  </w:style>
  <w:style w:type="paragraph" w:styleId="ListBullet5">
    <w:name w:val="List Bullet 5"/>
    <w:basedOn w:val="Normal"/>
    <w:uiPriority w:val="99"/>
    <w:semiHidden/>
    <w:unhideWhenUsed/>
    <w:rsid w:val="004C255D"/>
    <w:pPr>
      <w:numPr>
        <w:numId w:val="8"/>
      </w:numPr>
      <w:contextualSpacing/>
    </w:pPr>
  </w:style>
  <w:style w:type="paragraph" w:styleId="ListContinue">
    <w:name w:val="List Continue"/>
    <w:basedOn w:val="Normal"/>
    <w:uiPriority w:val="99"/>
    <w:semiHidden/>
    <w:unhideWhenUsed/>
    <w:rsid w:val="004C255D"/>
    <w:pPr>
      <w:spacing w:after="120"/>
      <w:ind w:left="283"/>
      <w:contextualSpacing/>
    </w:pPr>
  </w:style>
  <w:style w:type="paragraph" w:styleId="ListContinue2">
    <w:name w:val="List Continue 2"/>
    <w:basedOn w:val="Normal"/>
    <w:uiPriority w:val="99"/>
    <w:semiHidden/>
    <w:unhideWhenUsed/>
    <w:rsid w:val="004C255D"/>
    <w:pPr>
      <w:spacing w:after="120"/>
      <w:ind w:left="566"/>
      <w:contextualSpacing/>
    </w:pPr>
  </w:style>
  <w:style w:type="paragraph" w:styleId="ListContinue3">
    <w:name w:val="List Continue 3"/>
    <w:basedOn w:val="Normal"/>
    <w:uiPriority w:val="99"/>
    <w:semiHidden/>
    <w:unhideWhenUsed/>
    <w:rsid w:val="004C255D"/>
    <w:pPr>
      <w:spacing w:after="120"/>
      <w:ind w:left="849"/>
      <w:contextualSpacing/>
    </w:pPr>
  </w:style>
  <w:style w:type="paragraph" w:styleId="ListContinue4">
    <w:name w:val="List Continue 4"/>
    <w:basedOn w:val="Normal"/>
    <w:uiPriority w:val="99"/>
    <w:semiHidden/>
    <w:unhideWhenUsed/>
    <w:rsid w:val="004C255D"/>
    <w:pPr>
      <w:spacing w:after="120"/>
      <w:ind w:left="1132"/>
      <w:contextualSpacing/>
    </w:pPr>
  </w:style>
  <w:style w:type="paragraph" w:styleId="ListContinue5">
    <w:name w:val="List Continue 5"/>
    <w:basedOn w:val="Normal"/>
    <w:uiPriority w:val="99"/>
    <w:semiHidden/>
    <w:unhideWhenUsed/>
    <w:rsid w:val="004C255D"/>
    <w:pPr>
      <w:spacing w:after="120"/>
      <w:ind w:left="1415"/>
      <w:contextualSpacing/>
    </w:pPr>
  </w:style>
  <w:style w:type="paragraph" w:styleId="ListNumber4">
    <w:name w:val="List Number 4"/>
    <w:basedOn w:val="Normal"/>
    <w:uiPriority w:val="99"/>
    <w:semiHidden/>
    <w:unhideWhenUsed/>
    <w:rsid w:val="004C255D"/>
    <w:pPr>
      <w:numPr>
        <w:numId w:val="9"/>
      </w:numPr>
      <w:contextualSpacing/>
    </w:pPr>
  </w:style>
  <w:style w:type="paragraph" w:styleId="ListNumber5">
    <w:name w:val="List Number 5"/>
    <w:basedOn w:val="Normal"/>
    <w:uiPriority w:val="99"/>
    <w:semiHidden/>
    <w:unhideWhenUsed/>
    <w:rsid w:val="004C255D"/>
    <w:pPr>
      <w:numPr>
        <w:numId w:val="10"/>
      </w:numPr>
      <w:contextualSpacing/>
    </w:pPr>
  </w:style>
  <w:style w:type="paragraph" w:styleId="ListParagraph">
    <w:name w:val="List Paragraph"/>
    <w:basedOn w:val="Normal"/>
    <w:uiPriority w:val="1"/>
    <w:unhideWhenUsed/>
    <w:qFormat/>
    <w:rsid w:val="004C255D"/>
    <w:pPr>
      <w:ind w:left="720"/>
      <w:contextualSpacing/>
    </w:pPr>
  </w:style>
  <w:style w:type="paragraph" w:styleId="MacroText">
    <w:name w:val="macro"/>
    <w:link w:val="MacroTextChar"/>
    <w:uiPriority w:val="99"/>
    <w:semiHidden/>
    <w:unhideWhenUsed/>
    <w:rsid w:val="004C255D"/>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hAnsi="Consolas"/>
      <w:sz w:val="20"/>
      <w:szCs w:val="20"/>
    </w:rPr>
  </w:style>
  <w:style w:type="character" w:customStyle="1" w:styleId="MacroTextChar">
    <w:name w:val="Macro Text Char"/>
    <w:basedOn w:val="DefaultParagraphFont"/>
    <w:link w:val="MacroText"/>
    <w:uiPriority w:val="99"/>
    <w:semiHidden/>
    <w:rsid w:val="00F66A91"/>
    <w:rPr>
      <w:rFonts w:ascii="Consolas" w:hAnsi="Consolas"/>
      <w:sz w:val="20"/>
      <w:szCs w:val="20"/>
    </w:rPr>
  </w:style>
  <w:style w:type="paragraph" w:styleId="MessageHeader">
    <w:name w:val="Message Header"/>
    <w:basedOn w:val="Normal"/>
    <w:link w:val="MessageHeaderChar"/>
    <w:uiPriority w:val="99"/>
    <w:semiHidden/>
    <w:unhideWhenUsed/>
    <w:rsid w:val="004C255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66A91"/>
    <w:rPr>
      <w:rFonts w:asciiTheme="majorHAnsi" w:eastAsiaTheme="majorEastAsia" w:hAnsiTheme="majorHAnsi" w:cstheme="majorBidi"/>
      <w:kern w:val="18"/>
      <w:sz w:val="24"/>
      <w:szCs w:val="24"/>
      <w:shd w:val="pct20" w:color="auto" w:fill="auto"/>
    </w:rPr>
  </w:style>
  <w:style w:type="paragraph" w:styleId="NoSpacing">
    <w:name w:val="No Spacing"/>
    <w:uiPriority w:val="1"/>
    <w:semiHidden/>
    <w:unhideWhenUsed/>
    <w:rsid w:val="004C255D"/>
    <w:pPr>
      <w:tabs>
        <w:tab w:val="left" w:pos="284"/>
      </w:tabs>
    </w:pPr>
  </w:style>
  <w:style w:type="paragraph" w:styleId="NormalWeb">
    <w:name w:val="Normal (Web)"/>
    <w:basedOn w:val="Normal"/>
    <w:uiPriority w:val="99"/>
    <w:semiHidden/>
    <w:unhideWhenUsed/>
    <w:rsid w:val="004C255D"/>
  </w:style>
  <w:style w:type="paragraph" w:styleId="NormalIndent">
    <w:name w:val="Normal Indent"/>
    <w:basedOn w:val="Normal"/>
    <w:uiPriority w:val="99"/>
    <w:semiHidden/>
    <w:unhideWhenUsed/>
    <w:rsid w:val="004C255D"/>
    <w:pPr>
      <w:ind w:left="720"/>
    </w:pPr>
  </w:style>
  <w:style w:type="paragraph" w:styleId="NoteHeading">
    <w:name w:val="Note Heading"/>
    <w:basedOn w:val="Normal"/>
    <w:next w:val="Normal"/>
    <w:link w:val="NoteHeadingChar"/>
    <w:uiPriority w:val="99"/>
    <w:semiHidden/>
    <w:unhideWhenUsed/>
    <w:rsid w:val="004C255D"/>
  </w:style>
  <w:style w:type="character" w:customStyle="1" w:styleId="NoteHeadingChar">
    <w:name w:val="Note Heading Char"/>
    <w:basedOn w:val="DefaultParagraphFont"/>
    <w:link w:val="NoteHeading"/>
    <w:uiPriority w:val="99"/>
    <w:semiHidden/>
    <w:rsid w:val="00F66A91"/>
    <w:rPr>
      <w:kern w:val="18"/>
    </w:rPr>
  </w:style>
  <w:style w:type="character" w:styleId="PageNumber">
    <w:name w:val="page number"/>
    <w:basedOn w:val="DefaultParagraphFont"/>
    <w:uiPriority w:val="99"/>
    <w:semiHidden/>
    <w:unhideWhenUsed/>
    <w:rsid w:val="004C255D"/>
  </w:style>
  <w:style w:type="character" w:styleId="PlaceholderText">
    <w:name w:val="Placeholder Text"/>
    <w:basedOn w:val="DefaultParagraphFont"/>
    <w:uiPriority w:val="99"/>
    <w:semiHidden/>
    <w:unhideWhenUsed/>
    <w:rsid w:val="004C255D"/>
    <w:rPr>
      <w:color w:val="808080"/>
    </w:rPr>
  </w:style>
  <w:style w:type="paragraph" w:styleId="PlainText">
    <w:name w:val="Plain Text"/>
    <w:basedOn w:val="Normal"/>
    <w:link w:val="PlainTextChar"/>
    <w:uiPriority w:val="99"/>
    <w:semiHidden/>
    <w:unhideWhenUsed/>
    <w:rsid w:val="004C255D"/>
    <w:rPr>
      <w:rFonts w:ascii="Consolas" w:hAnsi="Consolas"/>
      <w:sz w:val="21"/>
      <w:szCs w:val="21"/>
    </w:rPr>
  </w:style>
  <w:style w:type="character" w:customStyle="1" w:styleId="PlainTextChar">
    <w:name w:val="Plain Text Char"/>
    <w:basedOn w:val="DefaultParagraphFont"/>
    <w:link w:val="PlainText"/>
    <w:uiPriority w:val="99"/>
    <w:semiHidden/>
    <w:rsid w:val="00F66A91"/>
    <w:rPr>
      <w:rFonts w:ascii="Consolas" w:hAnsi="Consolas"/>
      <w:kern w:val="18"/>
      <w:sz w:val="21"/>
      <w:szCs w:val="21"/>
    </w:rPr>
  </w:style>
  <w:style w:type="paragraph" w:styleId="Salutation">
    <w:name w:val="Salutation"/>
    <w:basedOn w:val="Normal"/>
    <w:next w:val="Normal"/>
    <w:link w:val="SalutationChar"/>
    <w:uiPriority w:val="99"/>
    <w:semiHidden/>
    <w:unhideWhenUsed/>
    <w:rsid w:val="004C255D"/>
  </w:style>
  <w:style w:type="character" w:customStyle="1" w:styleId="SalutationChar">
    <w:name w:val="Salutation Char"/>
    <w:basedOn w:val="DefaultParagraphFont"/>
    <w:link w:val="Salutation"/>
    <w:uiPriority w:val="99"/>
    <w:semiHidden/>
    <w:rsid w:val="00F66A91"/>
    <w:rPr>
      <w:kern w:val="18"/>
    </w:rPr>
  </w:style>
  <w:style w:type="paragraph" w:styleId="Signature">
    <w:name w:val="Signature"/>
    <w:basedOn w:val="Normal"/>
    <w:link w:val="SignatureChar"/>
    <w:uiPriority w:val="99"/>
    <w:semiHidden/>
    <w:unhideWhenUsed/>
    <w:rsid w:val="004C255D"/>
    <w:pPr>
      <w:ind w:left="4252"/>
    </w:pPr>
  </w:style>
  <w:style w:type="character" w:customStyle="1" w:styleId="SignatureChar">
    <w:name w:val="Signature Char"/>
    <w:basedOn w:val="DefaultParagraphFont"/>
    <w:link w:val="Signature"/>
    <w:uiPriority w:val="99"/>
    <w:semiHidden/>
    <w:rsid w:val="00F66A91"/>
    <w:rPr>
      <w:kern w:val="18"/>
    </w:rPr>
  </w:style>
  <w:style w:type="character" w:styleId="SubtleEmphasis">
    <w:name w:val="Subtle Emphasis"/>
    <w:basedOn w:val="DefaultParagraphFont"/>
    <w:uiPriority w:val="19"/>
    <w:semiHidden/>
    <w:unhideWhenUsed/>
    <w:rsid w:val="004C255D"/>
    <w:rPr>
      <w:i/>
      <w:iCs/>
      <w:color w:val="808080" w:themeColor="text1" w:themeTint="7F"/>
    </w:rPr>
  </w:style>
  <w:style w:type="character" w:styleId="SubtleReference">
    <w:name w:val="Subtle Reference"/>
    <w:basedOn w:val="DefaultParagraphFont"/>
    <w:uiPriority w:val="31"/>
    <w:semiHidden/>
    <w:unhideWhenUsed/>
    <w:rsid w:val="004C255D"/>
    <w:rPr>
      <w:smallCaps/>
      <w:color w:val="00353E" w:themeColor="accent2"/>
      <w:u w:val="single"/>
    </w:rPr>
  </w:style>
  <w:style w:type="paragraph" w:styleId="TableofAuthorities">
    <w:name w:val="table of authorities"/>
    <w:basedOn w:val="Normal"/>
    <w:next w:val="Normal"/>
    <w:uiPriority w:val="99"/>
    <w:semiHidden/>
    <w:unhideWhenUsed/>
    <w:rsid w:val="004C255D"/>
    <w:pPr>
      <w:ind w:left="180" w:hanging="180"/>
    </w:pPr>
  </w:style>
  <w:style w:type="paragraph" w:styleId="TOAHeading">
    <w:name w:val="toa heading"/>
    <w:basedOn w:val="Normal"/>
    <w:next w:val="Normal"/>
    <w:uiPriority w:val="99"/>
    <w:semiHidden/>
    <w:unhideWhenUsed/>
    <w:rsid w:val="004C255D"/>
    <w:pPr>
      <w:spacing w:before="120"/>
    </w:pPr>
    <w:rPr>
      <w:rFonts w:asciiTheme="majorHAnsi" w:eastAsiaTheme="majorEastAsia" w:hAnsiTheme="majorHAnsi" w:cstheme="majorBidi"/>
      <w:b/>
      <w:bCs/>
    </w:rPr>
  </w:style>
  <w:style w:type="paragraph" w:styleId="TOC4">
    <w:name w:val="toc 4"/>
    <w:basedOn w:val="Normal"/>
    <w:next w:val="Normal"/>
    <w:autoRedefine/>
    <w:uiPriority w:val="39"/>
    <w:unhideWhenUsed/>
    <w:rsid w:val="003964F2"/>
    <w:pPr>
      <w:tabs>
        <w:tab w:val="right" w:leader="dot" w:pos="9026"/>
      </w:tabs>
      <w:spacing w:after="40"/>
      <w:ind w:left="1134" w:hanging="567"/>
    </w:pPr>
  </w:style>
  <w:style w:type="paragraph" w:styleId="TOC5">
    <w:name w:val="toc 5"/>
    <w:basedOn w:val="Normal"/>
    <w:next w:val="Normal"/>
    <w:autoRedefine/>
    <w:uiPriority w:val="39"/>
    <w:semiHidden/>
    <w:unhideWhenUsed/>
    <w:rsid w:val="004C255D"/>
    <w:pPr>
      <w:spacing w:after="100"/>
      <w:ind w:left="720"/>
    </w:pPr>
  </w:style>
  <w:style w:type="paragraph" w:styleId="TOC6">
    <w:name w:val="toc 6"/>
    <w:basedOn w:val="Normal"/>
    <w:next w:val="Normal"/>
    <w:autoRedefine/>
    <w:uiPriority w:val="39"/>
    <w:semiHidden/>
    <w:unhideWhenUsed/>
    <w:rsid w:val="004C255D"/>
    <w:pPr>
      <w:spacing w:after="100"/>
      <w:ind w:left="900"/>
    </w:pPr>
  </w:style>
  <w:style w:type="paragraph" w:styleId="TOC7">
    <w:name w:val="toc 7"/>
    <w:basedOn w:val="Normal"/>
    <w:next w:val="Normal"/>
    <w:autoRedefine/>
    <w:uiPriority w:val="39"/>
    <w:semiHidden/>
    <w:unhideWhenUsed/>
    <w:rsid w:val="004C255D"/>
    <w:pPr>
      <w:spacing w:after="100"/>
      <w:ind w:left="1080"/>
    </w:pPr>
  </w:style>
  <w:style w:type="paragraph" w:styleId="TOC8">
    <w:name w:val="toc 8"/>
    <w:basedOn w:val="Normal"/>
    <w:next w:val="Normal"/>
    <w:autoRedefine/>
    <w:uiPriority w:val="39"/>
    <w:semiHidden/>
    <w:unhideWhenUsed/>
    <w:rsid w:val="004C255D"/>
    <w:pPr>
      <w:spacing w:after="100"/>
      <w:ind w:left="1260"/>
    </w:pPr>
  </w:style>
  <w:style w:type="paragraph" w:styleId="TOC9">
    <w:name w:val="toc 9"/>
    <w:basedOn w:val="Normal"/>
    <w:next w:val="Normal"/>
    <w:autoRedefine/>
    <w:uiPriority w:val="39"/>
    <w:semiHidden/>
    <w:unhideWhenUsed/>
    <w:rsid w:val="004C255D"/>
    <w:pPr>
      <w:spacing w:after="100"/>
      <w:ind w:left="1440"/>
    </w:pPr>
  </w:style>
  <w:style w:type="paragraph" w:customStyle="1" w:styleId="Subheading">
    <w:name w:val="Subheading"/>
    <w:basedOn w:val="BodyText"/>
    <w:next w:val="BodyText"/>
    <w:uiPriority w:val="24"/>
    <w:qFormat/>
    <w:rsid w:val="00C74E5C"/>
    <w:rPr>
      <w:rFonts w:asciiTheme="majorHAnsi" w:hAnsiTheme="majorHAnsi"/>
      <w:b/>
      <w:color w:val="008768" w:themeColor="accent1"/>
      <w:szCs w:val="14"/>
    </w:rPr>
  </w:style>
  <w:style w:type="paragraph" w:customStyle="1" w:styleId="CVIntroduction">
    <w:name w:val="CV Introduction"/>
    <w:basedOn w:val="BodyText"/>
    <w:uiPriority w:val="23"/>
    <w:rsid w:val="004C255D"/>
    <w:pPr>
      <w:pBdr>
        <w:top w:val="single" w:sz="4" w:space="6" w:color="auto"/>
        <w:bottom w:val="single" w:sz="4" w:space="6" w:color="auto"/>
      </w:pBdr>
    </w:pPr>
    <w:rPr>
      <w:sz w:val="28"/>
    </w:rPr>
  </w:style>
  <w:style w:type="paragraph" w:customStyle="1" w:styleId="CVTitle">
    <w:name w:val="CV Title"/>
    <w:basedOn w:val="Normal"/>
    <w:uiPriority w:val="1"/>
    <w:semiHidden/>
    <w:unhideWhenUsed/>
    <w:rsid w:val="004C255D"/>
    <w:rPr>
      <w:rFonts w:asciiTheme="majorHAnsi" w:hAnsiTheme="majorHAnsi"/>
      <w:color w:val="000000" w:themeColor="text1"/>
      <w:sz w:val="32"/>
    </w:rPr>
  </w:style>
  <w:style w:type="table" w:customStyle="1" w:styleId="Tablenoborders">
    <w:name w:val="Table no borders"/>
    <w:basedOn w:val="TableNormal"/>
    <w:uiPriority w:val="99"/>
    <w:semiHidden/>
    <w:unhideWhenUsed/>
    <w:rsid w:val="00C314D3"/>
    <w:tblPr>
      <w:tblCellMar>
        <w:left w:w="0" w:type="dxa"/>
        <w:right w:w="0" w:type="dxa"/>
      </w:tblCellMar>
    </w:tblPr>
  </w:style>
  <w:style w:type="numbering" w:customStyle="1" w:styleId="AECOMTableBullets">
    <w:name w:val="AECOM Table Bullets"/>
    <w:uiPriority w:val="99"/>
    <w:semiHidden/>
    <w:unhideWhenUsed/>
    <w:rsid w:val="002740A7"/>
    <w:pPr>
      <w:numPr>
        <w:numId w:val="20"/>
      </w:numPr>
    </w:pPr>
  </w:style>
  <w:style w:type="numbering" w:customStyle="1" w:styleId="AECOMTableNumbering">
    <w:name w:val="AECOM Table Numbering"/>
    <w:uiPriority w:val="99"/>
    <w:semiHidden/>
    <w:unhideWhenUsed/>
    <w:rsid w:val="002740A7"/>
    <w:pPr>
      <w:numPr>
        <w:numId w:val="21"/>
      </w:numPr>
    </w:pPr>
  </w:style>
  <w:style w:type="paragraph" w:customStyle="1" w:styleId="TableListBullet">
    <w:name w:val="Table List Bullet"/>
    <w:basedOn w:val="Normal"/>
    <w:uiPriority w:val="16"/>
    <w:qFormat/>
    <w:rsid w:val="002740A7"/>
    <w:pPr>
      <w:numPr>
        <w:numId w:val="23"/>
      </w:numPr>
      <w:spacing w:after="40"/>
    </w:pPr>
    <w:rPr>
      <w:sz w:val="18"/>
    </w:rPr>
  </w:style>
  <w:style w:type="paragraph" w:customStyle="1" w:styleId="TableListBullet2">
    <w:name w:val="Table List Bullet 2"/>
    <w:basedOn w:val="Normal"/>
    <w:uiPriority w:val="17"/>
    <w:qFormat/>
    <w:rsid w:val="002740A7"/>
    <w:pPr>
      <w:numPr>
        <w:ilvl w:val="1"/>
        <w:numId w:val="23"/>
      </w:numPr>
      <w:spacing w:after="40"/>
    </w:pPr>
    <w:rPr>
      <w:sz w:val="18"/>
    </w:rPr>
  </w:style>
  <w:style w:type="paragraph" w:customStyle="1" w:styleId="TableListBullet3">
    <w:name w:val="Table List Bullet 3"/>
    <w:basedOn w:val="Normal"/>
    <w:uiPriority w:val="18"/>
    <w:qFormat/>
    <w:rsid w:val="002740A7"/>
    <w:pPr>
      <w:numPr>
        <w:ilvl w:val="2"/>
        <w:numId w:val="23"/>
      </w:numPr>
      <w:spacing w:after="40"/>
    </w:pPr>
    <w:rPr>
      <w:sz w:val="18"/>
    </w:rPr>
  </w:style>
  <w:style w:type="paragraph" w:customStyle="1" w:styleId="TableListNumber">
    <w:name w:val="Table List Number"/>
    <w:basedOn w:val="BodyText"/>
    <w:uiPriority w:val="19"/>
    <w:qFormat/>
    <w:rsid w:val="002740A7"/>
    <w:pPr>
      <w:numPr>
        <w:numId w:val="22"/>
      </w:numPr>
      <w:spacing w:after="40" w:line="240" w:lineRule="auto"/>
    </w:pPr>
    <w:rPr>
      <w:sz w:val="18"/>
    </w:rPr>
  </w:style>
  <w:style w:type="paragraph" w:customStyle="1" w:styleId="TableListNumber2">
    <w:name w:val="Table List Number 2"/>
    <w:basedOn w:val="Normal"/>
    <w:uiPriority w:val="20"/>
    <w:qFormat/>
    <w:rsid w:val="002740A7"/>
    <w:pPr>
      <w:numPr>
        <w:ilvl w:val="1"/>
        <w:numId w:val="22"/>
      </w:numPr>
      <w:spacing w:after="40"/>
    </w:pPr>
    <w:rPr>
      <w:sz w:val="18"/>
    </w:rPr>
  </w:style>
  <w:style w:type="paragraph" w:customStyle="1" w:styleId="TableListNumber3">
    <w:name w:val="Table List Number 3"/>
    <w:basedOn w:val="Normal"/>
    <w:uiPriority w:val="21"/>
    <w:qFormat/>
    <w:rsid w:val="002740A7"/>
    <w:pPr>
      <w:numPr>
        <w:ilvl w:val="2"/>
        <w:numId w:val="22"/>
      </w:numPr>
      <w:spacing w:after="40"/>
    </w:pPr>
    <w:rPr>
      <w:sz w:val="18"/>
    </w:rPr>
  </w:style>
  <w:style w:type="paragraph" w:customStyle="1" w:styleId="Tabletext">
    <w:name w:val="Table text"/>
    <w:basedOn w:val="BodyText"/>
    <w:uiPriority w:val="15"/>
    <w:qFormat/>
    <w:rsid w:val="00AA045B"/>
    <w:pPr>
      <w:spacing w:before="40" w:after="40" w:line="240" w:lineRule="auto"/>
    </w:pPr>
    <w:rPr>
      <w:sz w:val="18"/>
    </w:rPr>
  </w:style>
  <w:style w:type="paragraph" w:customStyle="1" w:styleId="Callout">
    <w:name w:val="Callout"/>
    <w:basedOn w:val="BodyText"/>
    <w:uiPriority w:val="1"/>
    <w:semiHidden/>
    <w:unhideWhenUsed/>
    <w:rsid w:val="00F352C7"/>
    <w:pPr>
      <w:spacing w:after="60"/>
    </w:pPr>
  </w:style>
  <w:style w:type="paragraph" w:customStyle="1" w:styleId="SQL">
    <w:name w:val="SQL"/>
    <w:uiPriority w:val="1"/>
    <w:semiHidden/>
    <w:unhideWhenUsed/>
    <w:rsid w:val="004D4675"/>
    <w:pPr>
      <w:spacing w:after="120" w:line="240" w:lineRule="atLeast"/>
    </w:pPr>
    <w:rPr>
      <w:sz w:val="16"/>
      <w:lang w:val="en-CA"/>
    </w:rPr>
  </w:style>
  <w:style w:type="table" w:customStyle="1" w:styleId="AECOMcolouredtable">
    <w:name w:val="AECOM coloured table"/>
    <w:basedOn w:val="TableNormal"/>
    <w:uiPriority w:val="99"/>
    <w:semiHidden/>
    <w:unhideWhenUsed/>
    <w:rsid w:val="00890ADA"/>
    <w:tblPr>
      <w:tblStyleRowBandSize w:val="1"/>
    </w:tblPr>
    <w:tblStylePr w:type="firstRow">
      <w:rPr>
        <w:b/>
        <w:color w:val="FFFFFF" w:themeColor="background1"/>
      </w:rPr>
      <w:tblPr/>
      <w:tcPr>
        <w:tcBorders>
          <w:bottom w:val="single" w:sz="12" w:space="0" w:color="FFFFFF" w:themeColor="background1"/>
          <w:insideV w:val="single" w:sz="4" w:space="0" w:color="FFFFFF" w:themeColor="background1"/>
        </w:tcBorders>
        <w:shd w:val="clear" w:color="auto" w:fill="008768" w:themeFill="accent1"/>
      </w:tcPr>
    </w:tblStylePr>
    <w:tblStylePr w:type="firstCol">
      <w:rPr>
        <w:b/>
        <w:color w:val="FFFFFF" w:themeColor="background1"/>
      </w:rPr>
      <w:tblPr/>
      <w:tcPr>
        <w:tcBorders>
          <w:right w:val="single" w:sz="12" w:space="0" w:color="FFFFFF" w:themeColor="background1"/>
        </w:tcBorders>
        <w:shd w:val="clear" w:color="auto" w:fill="008768" w:themeFill="accent1"/>
      </w:tcPr>
    </w:tblStylePr>
    <w:tblStylePr w:type="band1Horz">
      <w:tblPr/>
      <w:tcPr>
        <w:shd w:val="clear" w:color="auto" w:fill="B4FFED" w:themeFill="accent1" w:themeFillTint="33"/>
      </w:tcPr>
    </w:tblStylePr>
    <w:tblStylePr w:type="band2Horz">
      <w:tblPr/>
      <w:tcPr>
        <w:shd w:val="clear" w:color="auto" w:fill="69FFDC" w:themeFill="accent1" w:themeFillTint="66"/>
      </w:tcPr>
    </w:tblStylePr>
  </w:style>
  <w:style w:type="paragraph" w:customStyle="1" w:styleId="Appendixheading2">
    <w:name w:val="Appendix heading 2"/>
    <w:basedOn w:val="Heading2"/>
    <w:uiPriority w:val="8"/>
    <w:qFormat/>
    <w:rsid w:val="003934D8"/>
    <w:pPr>
      <w:numPr>
        <w:numId w:val="24"/>
      </w:numPr>
    </w:pPr>
    <w:rPr>
      <w:rFonts w:cstheme="majorHAnsi"/>
      <w:sz w:val="28"/>
      <w:szCs w:val="36"/>
      <w:lang w:val="en-US"/>
    </w:rPr>
  </w:style>
  <w:style w:type="paragraph" w:customStyle="1" w:styleId="Numberedtext">
    <w:name w:val="Numbered text"/>
    <w:basedOn w:val="BodyText"/>
    <w:uiPriority w:val="2"/>
    <w:qFormat/>
    <w:rsid w:val="00FD338E"/>
  </w:style>
  <w:style w:type="table" w:styleId="ListTable3-Accent1">
    <w:name w:val="List Table 3 Accent 1"/>
    <w:basedOn w:val="TableNormal"/>
    <w:uiPriority w:val="48"/>
    <w:rsid w:val="00A31492"/>
    <w:tblPr>
      <w:tblStyleRowBandSize w:val="1"/>
      <w:tblStyleColBandSize w:val="1"/>
      <w:tblBorders>
        <w:top w:val="single" w:sz="4" w:space="0" w:color="008768" w:themeColor="accent1"/>
        <w:left w:val="single" w:sz="4" w:space="0" w:color="008768" w:themeColor="accent1"/>
        <w:bottom w:val="single" w:sz="4" w:space="0" w:color="008768" w:themeColor="accent1"/>
        <w:right w:val="single" w:sz="4" w:space="0" w:color="008768" w:themeColor="accent1"/>
      </w:tblBorders>
    </w:tblPr>
    <w:tblStylePr w:type="firstRow">
      <w:rPr>
        <w:b/>
        <w:bCs/>
        <w:color w:val="FFFFFF" w:themeColor="background1"/>
      </w:rPr>
      <w:tblPr/>
      <w:tcPr>
        <w:shd w:val="clear" w:color="auto" w:fill="008768" w:themeFill="accent1"/>
      </w:tcPr>
    </w:tblStylePr>
    <w:tblStylePr w:type="lastRow">
      <w:rPr>
        <w:b/>
        <w:bCs/>
      </w:rPr>
      <w:tblPr/>
      <w:tcPr>
        <w:tcBorders>
          <w:top w:val="double" w:sz="4" w:space="0" w:color="00876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768" w:themeColor="accent1"/>
          <w:right w:val="single" w:sz="4" w:space="0" w:color="008768" w:themeColor="accent1"/>
        </w:tcBorders>
      </w:tcPr>
    </w:tblStylePr>
    <w:tblStylePr w:type="band1Horz">
      <w:tblPr/>
      <w:tcPr>
        <w:tcBorders>
          <w:top w:val="single" w:sz="4" w:space="0" w:color="008768" w:themeColor="accent1"/>
          <w:bottom w:val="single" w:sz="4" w:space="0" w:color="00876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768" w:themeColor="accent1"/>
          <w:left w:val="nil"/>
        </w:tcBorders>
      </w:tcPr>
    </w:tblStylePr>
    <w:tblStylePr w:type="swCell">
      <w:tblPr/>
      <w:tcPr>
        <w:tcBorders>
          <w:top w:val="double" w:sz="4" w:space="0" w:color="008768" w:themeColor="accent1"/>
          <w:right w:val="nil"/>
        </w:tcBorders>
      </w:tcPr>
    </w:tblStylePr>
  </w:style>
  <w:style w:type="table" w:styleId="GridTable4-Accent1">
    <w:name w:val="Grid Table 4 Accent 1"/>
    <w:basedOn w:val="TableNormal"/>
    <w:uiPriority w:val="49"/>
    <w:rsid w:val="003026E7"/>
    <w:tblPr>
      <w:tblStyleRowBandSize w:val="1"/>
      <w:tblStyleColBandSize w:val="1"/>
      <w:tblBorders>
        <w:top w:val="single" w:sz="4" w:space="0" w:color="1EFFCA" w:themeColor="accent1" w:themeTint="99"/>
        <w:left w:val="single" w:sz="4" w:space="0" w:color="1EFFCA" w:themeColor="accent1" w:themeTint="99"/>
        <w:bottom w:val="single" w:sz="4" w:space="0" w:color="1EFFCA" w:themeColor="accent1" w:themeTint="99"/>
        <w:right w:val="single" w:sz="4" w:space="0" w:color="1EFFCA" w:themeColor="accent1" w:themeTint="99"/>
        <w:insideH w:val="single" w:sz="4" w:space="0" w:color="1EFFCA" w:themeColor="accent1" w:themeTint="99"/>
        <w:insideV w:val="single" w:sz="4" w:space="0" w:color="1EFFCA" w:themeColor="accent1" w:themeTint="99"/>
      </w:tblBorders>
    </w:tblPr>
    <w:tblStylePr w:type="firstRow">
      <w:rPr>
        <w:b/>
        <w:bCs/>
        <w:color w:val="FFFFFF" w:themeColor="background1"/>
      </w:rPr>
      <w:tblPr/>
      <w:tcPr>
        <w:tcBorders>
          <w:top w:val="single" w:sz="4" w:space="0" w:color="008768" w:themeColor="accent1"/>
          <w:left w:val="single" w:sz="4" w:space="0" w:color="008768" w:themeColor="accent1"/>
          <w:bottom w:val="single" w:sz="4" w:space="0" w:color="008768" w:themeColor="accent1"/>
          <w:right w:val="single" w:sz="4" w:space="0" w:color="008768" w:themeColor="accent1"/>
          <w:insideH w:val="nil"/>
          <w:insideV w:val="nil"/>
        </w:tcBorders>
        <w:shd w:val="clear" w:color="auto" w:fill="008768" w:themeFill="accent1"/>
      </w:tcPr>
    </w:tblStylePr>
    <w:tblStylePr w:type="lastRow">
      <w:rPr>
        <w:b/>
        <w:bCs/>
      </w:rPr>
      <w:tblPr/>
      <w:tcPr>
        <w:tcBorders>
          <w:top w:val="double" w:sz="4" w:space="0" w:color="008768" w:themeColor="accent1"/>
        </w:tcBorders>
      </w:tcPr>
    </w:tblStylePr>
    <w:tblStylePr w:type="firstCol">
      <w:rPr>
        <w:b/>
        <w:bCs/>
      </w:rPr>
    </w:tblStylePr>
    <w:tblStylePr w:type="lastCol">
      <w:rPr>
        <w:b/>
        <w:bCs/>
      </w:rPr>
    </w:tblStylePr>
    <w:tblStylePr w:type="band1Vert">
      <w:tblPr/>
      <w:tcPr>
        <w:shd w:val="clear" w:color="auto" w:fill="B4FFED" w:themeFill="accent1" w:themeFillTint="33"/>
      </w:tcPr>
    </w:tblStylePr>
    <w:tblStylePr w:type="band1Horz">
      <w:tblPr/>
      <w:tcPr>
        <w:shd w:val="clear" w:color="auto" w:fill="B4FFED" w:themeFill="accent1" w:themeFillTint="33"/>
      </w:tcPr>
    </w:tblStylePr>
  </w:style>
  <w:style w:type="character" w:customStyle="1" w:styleId="UnresolvedMention1">
    <w:name w:val="Unresolved Mention1"/>
    <w:basedOn w:val="DefaultParagraphFont"/>
    <w:uiPriority w:val="99"/>
    <w:unhideWhenUsed/>
    <w:rsid w:val="000C4D56"/>
    <w:rPr>
      <w:color w:val="605E5C"/>
      <w:shd w:val="clear" w:color="auto" w:fill="E1DFDD"/>
    </w:rPr>
  </w:style>
  <w:style w:type="table" w:styleId="TableGridLight">
    <w:name w:val="Grid Table Light"/>
    <w:basedOn w:val="TableNormal"/>
    <w:uiPriority w:val="40"/>
    <w:rsid w:val="00DE29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8104E9"/>
    <w:rPr>
      <w:kern w:val="18"/>
      <w:sz w:val="20"/>
    </w:rPr>
  </w:style>
  <w:style w:type="paragraph" w:customStyle="1" w:styleId="Body">
    <w:name w:val="Body"/>
    <w:basedOn w:val="Normal"/>
    <w:link w:val="BodyChar"/>
    <w:uiPriority w:val="99"/>
    <w:rsid w:val="000660E9"/>
    <w:pPr>
      <w:adjustRightInd w:val="0"/>
      <w:spacing w:after="210" w:line="270" w:lineRule="atLeast"/>
      <w:jc w:val="both"/>
    </w:pPr>
    <w:rPr>
      <w:rFonts w:ascii="Calibri" w:eastAsia="Calibri" w:hAnsi="Calibri"/>
      <w:sz w:val="21"/>
      <w:szCs w:val="21"/>
      <w:lang w:val="x-none" w:eastAsia="x-none"/>
    </w:rPr>
  </w:style>
  <w:style w:type="character" w:customStyle="1" w:styleId="BodyChar">
    <w:name w:val="Body Char"/>
    <w:link w:val="Body"/>
    <w:uiPriority w:val="99"/>
    <w:rsid w:val="000660E9"/>
    <w:rPr>
      <w:rFonts w:ascii="Calibri" w:eastAsia="Calibri" w:hAnsi="Calibri" w:cs="Times New Roman"/>
      <w:sz w:val="21"/>
      <w:szCs w:val="21"/>
      <w:lang w:val="x-none" w:eastAsia="x-none"/>
    </w:rPr>
  </w:style>
  <w:style w:type="paragraph" w:customStyle="1" w:styleId="paragraph">
    <w:name w:val="paragraph"/>
    <w:basedOn w:val="Normal"/>
    <w:rsid w:val="003C1664"/>
    <w:pPr>
      <w:spacing w:before="100" w:beforeAutospacing="1" w:after="100" w:afterAutospacing="1"/>
    </w:pPr>
  </w:style>
  <w:style w:type="character" w:customStyle="1" w:styleId="normaltextrun">
    <w:name w:val="normaltextrun"/>
    <w:basedOn w:val="DefaultParagraphFont"/>
    <w:rsid w:val="003C1664"/>
  </w:style>
  <w:style w:type="character" w:customStyle="1" w:styleId="eop">
    <w:name w:val="eop"/>
    <w:basedOn w:val="DefaultParagraphFont"/>
    <w:rsid w:val="003C1664"/>
  </w:style>
  <w:style w:type="paragraph" w:customStyle="1" w:styleId="TableParagraph">
    <w:name w:val="Table Paragraph"/>
    <w:basedOn w:val="Normal"/>
    <w:uiPriority w:val="1"/>
    <w:qFormat/>
    <w:rsid w:val="004352F1"/>
    <w:pPr>
      <w:widowControl w:val="0"/>
      <w:autoSpaceDE w:val="0"/>
      <w:autoSpaceDN w:val="0"/>
      <w:ind w:left="100"/>
    </w:pPr>
    <w:rPr>
      <w:rFonts w:ascii="Calibri" w:eastAsia="Calibri" w:hAnsi="Calibri" w:cs="Calibri"/>
      <w:sz w:val="22"/>
      <w:szCs w:val="22"/>
      <w:lang w:val="en-US" w:eastAsia="en-US"/>
    </w:rPr>
  </w:style>
  <w:style w:type="character" w:styleId="UnresolvedMention">
    <w:name w:val="Unresolved Mention"/>
    <w:basedOn w:val="DefaultParagraphFont"/>
    <w:uiPriority w:val="99"/>
    <w:semiHidden/>
    <w:unhideWhenUsed/>
    <w:rsid w:val="00755F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90624">
      <w:bodyDiv w:val="1"/>
      <w:marLeft w:val="0"/>
      <w:marRight w:val="0"/>
      <w:marTop w:val="0"/>
      <w:marBottom w:val="0"/>
      <w:divBdr>
        <w:top w:val="none" w:sz="0" w:space="0" w:color="auto"/>
        <w:left w:val="none" w:sz="0" w:space="0" w:color="auto"/>
        <w:bottom w:val="none" w:sz="0" w:space="0" w:color="auto"/>
        <w:right w:val="none" w:sz="0" w:space="0" w:color="auto"/>
      </w:divBdr>
    </w:div>
    <w:div w:id="109202580">
      <w:bodyDiv w:val="1"/>
      <w:marLeft w:val="0"/>
      <w:marRight w:val="0"/>
      <w:marTop w:val="0"/>
      <w:marBottom w:val="0"/>
      <w:divBdr>
        <w:top w:val="none" w:sz="0" w:space="0" w:color="auto"/>
        <w:left w:val="none" w:sz="0" w:space="0" w:color="auto"/>
        <w:bottom w:val="none" w:sz="0" w:space="0" w:color="auto"/>
        <w:right w:val="none" w:sz="0" w:space="0" w:color="auto"/>
      </w:divBdr>
    </w:div>
    <w:div w:id="214583666">
      <w:bodyDiv w:val="1"/>
      <w:marLeft w:val="0"/>
      <w:marRight w:val="0"/>
      <w:marTop w:val="0"/>
      <w:marBottom w:val="0"/>
      <w:divBdr>
        <w:top w:val="none" w:sz="0" w:space="0" w:color="auto"/>
        <w:left w:val="none" w:sz="0" w:space="0" w:color="auto"/>
        <w:bottom w:val="none" w:sz="0" w:space="0" w:color="auto"/>
        <w:right w:val="none" w:sz="0" w:space="0" w:color="auto"/>
      </w:divBdr>
      <w:divsChild>
        <w:div w:id="193277762">
          <w:marLeft w:val="0"/>
          <w:marRight w:val="0"/>
          <w:marTop w:val="0"/>
          <w:marBottom w:val="0"/>
          <w:divBdr>
            <w:top w:val="none" w:sz="0" w:space="0" w:color="auto"/>
            <w:left w:val="none" w:sz="0" w:space="0" w:color="auto"/>
            <w:bottom w:val="none" w:sz="0" w:space="0" w:color="auto"/>
            <w:right w:val="none" w:sz="0" w:space="0" w:color="auto"/>
          </w:divBdr>
        </w:div>
      </w:divsChild>
    </w:div>
    <w:div w:id="380836019">
      <w:bodyDiv w:val="1"/>
      <w:marLeft w:val="0"/>
      <w:marRight w:val="0"/>
      <w:marTop w:val="0"/>
      <w:marBottom w:val="0"/>
      <w:divBdr>
        <w:top w:val="none" w:sz="0" w:space="0" w:color="auto"/>
        <w:left w:val="none" w:sz="0" w:space="0" w:color="auto"/>
        <w:bottom w:val="none" w:sz="0" w:space="0" w:color="auto"/>
        <w:right w:val="none" w:sz="0" w:space="0" w:color="auto"/>
      </w:divBdr>
    </w:div>
    <w:div w:id="619268200">
      <w:bodyDiv w:val="1"/>
      <w:marLeft w:val="0"/>
      <w:marRight w:val="0"/>
      <w:marTop w:val="0"/>
      <w:marBottom w:val="0"/>
      <w:divBdr>
        <w:top w:val="none" w:sz="0" w:space="0" w:color="auto"/>
        <w:left w:val="none" w:sz="0" w:space="0" w:color="auto"/>
        <w:bottom w:val="none" w:sz="0" w:space="0" w:color="auto"/>
        <w:right w:val="none" w:sz="0" w:space="0" w:color="auto"/>
      </w:divBdr>
    </w:div>
    <w:div w:id="862475660">
      <w:bodyDiv w:val="1"/>
      <w:marLeft w:val="0"/>
      <w:marRight w:val="0"/>
      <w:marTop w:val="0"/>
      <w:marBottom w:val="0"/>
      <w:divBdr>
        <w:top w:val="none" w:sz="0" w:space="0" w:color="auto"/>
        <w:left w:val="none" w:sz="0" w:space="0" w:color="auto"/>
        <w:bottom w:val="none" w:sz="0" w:space="0" w:color="auto"/>
        <w:right w:val="none" w:sz="0" w:space="0" w:color="auto"/>
      </w:divBdr>
      <w:divsChild>
        <w:div w:id="1223784064">
          <w:marLeft w:val="0"/>
          <w:marRight w:val="0"/>
          <w:marTop w:val="0"/>
          <w:marBottom w:val="0"/>
          <w:divBdr>
            <w:top w:val="none" w:sz="0" w:space="0" w:color="auto"/>
            <w:left w:val="none" w:sz="0" w:space="0" w:color="auto"/>
            <w:bottom w:val="none" w:sz="0" w:space="0" w:color="auto"/>
            <w:right w:val="none" w:sz="0" w:space="0" w:color="auto"/>
          </w:divBdr>
        </w:div>
        <w:div w:id="1584294098">
          <w:marLeft w:val="0"/>
          <w:marRight w:val="0"/>
          <w:marTop w:val="0"/>
          <w:marBottom w:val="0"/>
          <w:divBdr>
            <w:top w:val="none" w:sz="0" w:space="0" w:color="auto"/>
            <w:left w:val="none" w:sz="0" w:space="0" w:color="auto"/>
            <w:bottom w:val="none" w:sz="0" w:space="0" w:color="auto"/>
            <w:right w:val="none" w:sz="0" w:space="0" w:color="auto"/>
          </w:divBdr>
        </w:div>
        <w:div w:id="1957835041">
          <w:marLeft w:val="0"/>
          <w:marRight w:val="0"/>
          <w:marTop w:val="0"/>
          <w:marBottom w:val="0"/>
          <w:divBdr>
            <w:top w:val="none" w:sz="0" w:space="0" w:color="auto"/>
            <w:left w:val="none" w:sz="0" w:space="0" w:color="auto"/>
            <w:bottom w:val="none" w:sz="0" w:space="0" w:color="auto"/>
            <w:right w:val="none" w:sz="0" w:space="0" w:color="auto"/>
          </w:divBdr>
        </w:div>
      </w:divsChild>
    </w:div>
    <w:div w:id="971785483">
      <w:bodyDiv w:val="1"/>
      <w:marLeft w:val="0"/>
      <w:marRight w:val="0"/>
      <w:marTop w:val="0"/>
      <w:marBottom w:val="0"/>
      <w:divBdr>
        <w:top w:val="none" w:sz="0" w:space="0" w:color="auto"/>
        <w:left w:val="none" w:sz="0" w:space="0" w:color="auto"/>
        <w:bottom w:val="none" w:sz="0" w:space="0" w:color="auto"/>
        <w:right w:val="none" w:sz="0" w:space="0" w:color="auto"/>
      </w:divBdr>
      <w:divsChild>
        <w:div w:id="39593472">
          <w:marLeft w:val="0"/>
          <w:marRight w:val="0"/>
          <w:marTop w:val="0"/>
          <w:marBottom w:val="0"/>
          <w:divBdr>
            <w:top w:val="none" w:sz="0" w:space="0" w:color="auto"/>
            <w:left w:val="none" w:sz="0" w:space="0" w:color="auto"/>
            <w:bottom w:val="none" w:sz="0" w:space="0" w:color="auto"/>
            <w:right w:val="none" w:sz="0" w:space="0" w:color="auto"/>
          </w:divBdr>
        </w:div>
        <w:div w:id="55668128">
          <w:marLeft w:val="0"/>
          <w:marRight w:val="0"/>
          <w:marTop w:val="0"/>
          <w:marBottom w:val="0"/>
          <w:divBdr>
            <w:top w:val="none" w:sz="0" w:space="0" w:color="auto"/>
            <w:left w:val="none" w:sz="0" w:space="0" w:color="auto"/>
            <w:bottom w:val="none" w:sz="0" w:space="0" w:color="auto"/>
            <w:right w:val="none" w:sz="0" w:space="0" w:color="auto"/>
          </w:divBdr>
        </w:div>
        <w:div w:id="69275731">
          <w:marLeft w:val="0"/>
          <w:marRight w:val="0"/>
          <w:marTop w:val="0"/>
          <w:marBottom w:val="0"/>
          <w:divBdr>
            <w:top w:val="none" w:sz="0" w:space="0" w:color="auto"/>
            <w:left w:val="none" w:sz="0" w:space="0" w:color="auto"/>
            <w:bottom w:val="none" w:sz="0" w:space="0" w:color="auto"/>
            <w:right w:val="none" w:sz="0" w:space="0" w:color="auto"/>
          </w:divBdr>
        </w:div>
        <w:div w:id="1044139444">
          <w:marLeft w:val="0"/>
          <w:marRight w:val="0"/>
          <w:marTop w:val="0"/>
          <w:marBottom w:val="0"/>
          <w:divBdr>
            <w:top w:val="none" w:sz="0" w:space="0" w:color="auto"/>
            <w:left w:val="none" w:sz="0" w:space="0" w:color="auto"/>
            <w:bottom w:val="none" w:sz="0" w:space="0" w:color="auto"/>
            <w:right w:val="none" w:sz="0" w:space="0" w:color="auto"/>
          </w:divBdr>
        </w:div>
        <w:div w:id="1256326855">
          <w:marLeft w:val="0"/>
          <w:marRight w:val="0"/>
          <w:marTop w:val="0"/>
          <w:marBottom w:val="0"/>
          <w:divBdr>
            <w:top w:val="none" w:sz="0" w:space="0" w:color="auto"/>
            <w:left w:val="none" w:sz="0" w:space="0" w:color="auto"/>
            <w:bottom w:val="none" w:sz="0" w:space="0" w:color="auto"/>
            <w:right w:val="none" w:sz="0" w:space="0" w:color="auto"/>
          </w:divBdr>
        </w:div>
        <w:div w:id="1634558802">
          <w:marLeft w:val="0"/>
          <w:marRight w:val="0"/>
          <w:marTop w:val="0"/>
          <w:marBottom w:val="0"/>
          <w:divBdr>
            <w:top w:val="none" w:sz="0" w:space="0" w:color="auto"/>
            <w:left w:val="none" w:sz="0" w:space="0" w:color="auto"/>
            <w:bottom w:val="none" w:sz="0" w:space="0" w:color="auto"/>
            <w:right w:val="none" w:sz="0" w:space="0" w:color="auto"/>
          </w:divBdr>
        </w:div>
        <w:div w:id="1716468937">
          <w:marLeft w:val="0"/>
          <w:marRight w:val="0"/>
          <w:marTop w:val="0"/>
          <w:marBottom w:val="0"/>
          <w:divBdr>
            <w:top w:val="none" w:sz="0" w:space="0" w:color="auto"/>
            <w:left w:val="none" w:sz="0" w:space="0" w:color="auto"/>
            <w:bottom w:val="none" w:sz="0" w:space="0" w:color="auto"/>
            <w:right w:val="none" w:sz="0" w:space="0" w:color="auto"/>
          </w:divBdr>
        </w:div>
        <w:div w:id="1917010541">
          <w:marLeft w:val="0"/>
          <w:marRight w:val="0"/>
          <w:marTop w:val="0"/>
          <w:marBottom w:val="0"/>
          <w:divBdr>
            <w:top w:val="none" w:sz="0" w:space="0" w:color="auto"/>
            <w:left w:val="none" w:sz="0" w:space="0" w:color="auto"/>
            <w:bottom w:val="none" w:sz="0" w:space="0" w:color="auto"/>
            <w:right w:val="none" w:sz="0" w:space="0" w:color="auto"/>
          </w:divBdr>
        </w:div>
      </w:divsChild>
    </w:div>
    <w:div w:id="997802640">
      <w:bodyDiv w:val="1"/>
      <w:marLeft w:val="0"/>
      <w:marRight w:val="0"/>
      <w:marTop w:val="0"/>
      <w:marBottom w:val="0"/>
      <w:divBdr>
        <w:top w:val="none" w:sz="0" w:space="0" w:color="auto"/>
        <w:left w:val="none" w:sz="0" w:space="0" w:color="auto"/>
        <w:bottom w:val="none" w:sz="0" w:space="0" w:color="auto"/>
        <w:right w:val="none" w:sz="0" w:space="0" w:color="auto"/>
      </w:divBdr>
    </w:div>
    <w:div w:id="1104112289">
      <w:bodyDiv w:val="1"/>
      <w:marLeft w:val="0"/>
      <w:marRight w:val="0"/>
      <w:marTop w:val="0"/>
      <w:marBottom w:val="0"/>
      <w:divBdr>
        <w:top w:val="none" w:sz="0" w:space="0" w:color="auto"/>
        <w:left w:val="none" w:sz="0" w:space="0" w:color="auto"/>
        <w:bottom w:val="none" w:sz="0" w:space="0" w:color="auto"/>
        <w:right w:val="none" w:sz="0" w:space="0" w:color="auto"/>
      </w:divBdr>
    </w:div>
    <w:div w:id="1119303306">
      <w:bodyDiv w:val="1"/>
      <w:marLeft w:val="0"/>
      <w:marRight w:val="0"/>
      <w:marTop w:val="0"/>
      <w:marBottom w:val="0"/>
      <w:divBdr>
        <w:top w:val="none" w:sz="0" w:space="0" w:color="auto"/>
        <w:left w:val="none" w:sz="0" w:space="0" w:color="auto"/>
        <w:bottom w:val="none" w:sz="0" w:space="0" w:color="auto"/>
        <w:right w:val="none" w:sz="0" w:space="0" w:color="auto"/>
      </w:divBdr>
    </w:div>
    <w:div w:id="1161308208">
      <w:bodyDiv w:val="1"/>
      <w:marLeft w:val="0"/>
      <w:marRight w:val="0"/>
      <w:marTop w:val="0"/>
      <w:marBottom w:val="0"/>
      <w:divBdr>
        <w:top w:val="none" w:sz="0" w:space="0" w:color="auto"/>
        <w:left w:val="none" w:sz="0" w:space="0" w:color="auto"/>
        <w:bottom w:val="none" w:sz="0" w:space="0" w:color="auto"/>
        <w:right w:val="none" w:sz="0" w:space="0" w:color="auto"/>
      </w:divBdr>
    </w:div>
    <w:div w:id="1269629610">
      <w:bodyDiv w:val="1"/>
      <w:marLeft w:val="0"/>
      <w:marRight w:val="0"/>
      <w:marTop w:val="0"/>
      <w:marBottom w:val="0"/>
      <w:divBdr>
        <w:top w:val="none" w:sz="0" w:space="0" w:color="auto"/>
        <w:left w:val="none" w:sz="0" w:space="0" w:color="auto"/>
        <w:bottom w:val="none" w:sz="0" w:space="0" w:color="auto"/>
        <w:right w:val="none" w:sz="0" w:space="0" w:color="auto"/>
      </w:divBdr>
    </w:div>
    <w:div w:id="1494952252">
      <w:bodyDiv w:val="1"/>
      <w:marLeft w:val="0"/>
      <w:marRight w:val="0"/>
      <w:marTop w:val="0"/>
      <w:marBottom w:val="0"/>
      <w:divBdr>
        <w:top w:val="none" w:sz="0" w:space="0" w:color="auto"/>
        <w:left w:val="none" w:sz="0" w:space="0" w:color="auto"/>
        <w:bottom w:val="none" w:sz="0" w:space="0" w:color="auto"/>
        <w:right w:val="none" w:sz="0" w:space="0" w:color="auto"/>
      </w:divBdr>
    </w:div>
    <w:div w:id="2034501779">
      <w:bodyDiv w:val="1"/>
      <w:marLeft w:val="0"/>
      <w:marRight w:val="0"/>
      <w:marTop w:val="0"/>
      <w:marBottom w:val="0"/>
      <w:divBdr>
        <w:top w:val="none" w:sz="0" w:space="0" w:color="auto"/>
        <w:left w:val="none" w:sz="0" w:space="0" w:color="auto"/>
        <w:bottom w:val="none" w:sz="0" w:space="0" w:color="auto"/>
        <w:right w:val="none" w:sz="0" w:space="0" w:color="auto"/>
      </w:divBdr>
    </w:div>
    <w:div w:id="2054184548">
      <w:bodyDiv w:val="1"/>
      <w:marLeft w:val="0"/>
      <w:marRight w:val="0"/>
      <w:marTop w:val="0"/>
      <w:marBottom w:val="0"/>
      <w:divBdr>
        <w:top w:val="none" w:sz="0" w:space="0" w:color="auto"/>
        <w:left w:val="none" w:sz="0" w:space="0" w:color="auto"/>
        <w:bottom w:val="none" w:sz="0" w:space="0" w:color="auto"/>
        <w:right w:val="none" w:sz="0" w:space="0" w:color="auto"/>
      </w:divBdr>
    </w:div>
    <w:div w:id="2075621002">
      <w:bodyDiv w:val="1"/>
      <w:marLeft w:val="0"/>
      <w:marRight w:val="0"/>
      <w:marTop w:val="0"/>
      <w:marBottom w:val="0"/>
      <w:divBdr>
        <w:top w:val="none" w:sz="0" w:space="0" w:color="auto"/>
        <w:left w:val="none" w:sz="0" w:space="0" w:color="auto"/>
        <w:bottom w:val="none" w:sz="0" w:space="0" w:color="auto"/>
        <w:right w:val="none" w:sz="0" w:space="0" w:color="auto"/>
      </w:divBdr>
    </w:div>
    <w:div w:id="2089182828">
      <w:bodyDiv w:val="1"/>
      <w:marLeft w:val="0"/>
      <w:marRight w:val="0"/>
      <w:marTop w:val="0"/>
      <w:marBottom w:val="0"/>
      <w:divBdr>
        <w:top w:val="none" w:sz="0" w:space="0" w:color="auto"/>
        <w:left w:val="none" w:sz="0" w:space="0" w:color="auto"/>
        <w:bottom w:val="none" w:sz="0" w:space="0" w:color="auto"/>
        <w:right w:val="none" w:sz="0" w:space="0" w:color="auto"/>
      </w:divBdr>
    </w:div>
    <w:div w:id="2098745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hyperlink" Target="https://www.ul.ie/" TargetMode="External"/><Relationship Id="rId26" Type="http://schemas.openxmlformats.org/officeDocument/2006/relationships/hyperlink" Target="http://www.etenders.gov.ie" TargetMode="External"/><Relationship Id="rId3" Type="http://schemas.openxmlformats.org/officeDocument/2006/relationships/customXml" Target="../customXml/item3.xml"/><Relationship Id="rId21" Type="http://schemas.openxmlformats.org/officeDocument/2006/relationships/hyperlink" Target="http://www.smurfitschool.ie/"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universityofgalway.ie" TargetMode="External"/><Relationship Id="rId25" Type="http://schemas.openxmlformats.org/officeDocument/2006/relationships/hyperlink" Target="http://www.ucd.ie/strategy"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physicslabs.ucd.ie/info/beech_hil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ucd.ie/campusdevelopment/"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www.moli.ie" TargetMode="Externa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www.ucd.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svg"/><Relationship Id="rId22" Type="http://schemas.openxmlformats.org/officeDocument/2006/relationships/hyperlink" Target="http://www.ucd.ie/lyonsfarm/" TargetMode="External"/><Relationship Id="rId27" Type="http://schemas.openxmlformats.org/officeDocument/2006/relationships/header" Target="header3.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iaran.maguire\AppData\Roaming\Microsoft\Templates\AECOM_Report.dotm" TargetMode="External"/></Relationships>
</file>

<file path=word/theme/theme1.xml><?xml version="1.0" encoding="utf-8"?>
<a:theme xmlns:a="http://schemas.openxmlformats.org/drawingml/2006/main" name="Office Theme">
  <a:themeElements>
    <a:clrScheme name="AECOM2021">
      <a:dk1>
        <a:sysClr val="windowText" lastClr="000000"/>
      </a:dk1>
      <a:lt1>
        <a:sysClr val="window" lastClr="FFFFFF"/>
      </a:lt1>
      <a:dk2>
        <a:srgbClr val="000000"/>
      </a:dk2>
      <a:lt2>
        <a:srgbClr val="FFFFFF"/>
      </a:lt2>
      <a:accent1>
        <a:srgbClr val="008768"/>
      </a:accent1>
      <a:accent2>
        <a:srgbClr val="00353E"/>
      </a:accent2>
      <a:accent3>
        <a:srgbClr val="AECC53"/>
      </a:accent3>
      <a:accent4>
        <a:srgbClr val="E52713"/>
      </a:accent4>
      <a:accent5>
        <a:srgbClr val="009A9B"/>
      </a:accent5>
      <a:accent6>
        <a:srgbClr val="FFCE00"/>
      </a:accent6>
      <a:hlink>
        <a:srgbClr val="C70C6F"/>
      </a:hlink>
      <a:folHlink>
        <a:srgbClr val="9C0880"/>
      </a:folHlink>
    </a:clrScheme>
    <a:fontScheme name="AECOM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e8832a6e-4e77-4815-9739-6f38a0f8b31e" xsi:nil="true"/>
    <Link xmlns="334cc7d4-6c5a-47c8-b35b-5e1cce5135f2">
      <Url xsi:nil="true"/>
      <Description xsi:nil="true"/>
    </Link>
    <lcf76f155ced4ddcb4097134ff3c332f xmlns="334cc7d4-6c5a-47c8-b35b-5e1cce5135f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AB8171D4749C447AAD4404C30CDB6E6" ma:contentTypeVersion="19" ma:contentTypeDescription="Create a new document." ma:contentTypeScope="" ma:versionID="7a8c3d4f46f1a695de51bdf195f2286e">
  <xsd:schema xmlns:xsd="http://www.w3.org/2001/XMLSchema" xmlns:xs="http://www.w3.org/2001/XMLSchema" xmlns:p="http://schemas.microsoft.com/office/2006/metadata/properties" xmlns:ns2="334cc7d4-6c5a-47c8-b35b-5e1cce5135f2" xmlns:ns3="e8832a6e-4e77-4815-9739-6f38a0f8b31e" targetNamespace="http://schemas.microsoft.com/office/2006/metadata/properties" ma:root="true" ma:fieldsID="b3e719025ece43e866ac17748df5015c" ns2:_="" ns3:_="">
    <xsd:import namespace="334cc7d4-6c5a-47c8-b35b-5e1cce5135f2"/>
    <xsd:import namespace="e8832a6e-4e77-4815-9739-6f38a0f8b31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Link"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4cc7d4-6c5a-47c8-b35b-5e1cce5135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ink" ma:index="20"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0509728-31c9-4ac3-934d-712f3fb036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832a6e-4e77-4815-9739-6f38a0f8b31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90a02c33-d427-4d95-9ae0-150f9d95549e}" ma:internalName="TaxCatchAll" ma:showField="CatchAllData" ma:web="e8832a6e-4e77-4815-9739-6f38a0f8b3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68AFFF-E761-4FCF-842E-EB55739FF230}">
  <ds:schemaRefs>
    <ds:schemaRef ds:uri="http://schemas.microsoft.com/sharepoint/v3/contenttype/forms"/>
  </ds:schemaRefs>
</ds:datastoreItem>
</file>

<file path=customXml/itemProps2.xml><?xml version="1.0" encoding="utf-8"?>
<ds:datastoreItem xmlns:ds="http://schemas.openxmlformats.org/officeDocument/2006/customXml" ds:itemID="{7E1DB34C-0F1C-4C4E-8687-FFBE66E00F94}">
  <ds:schemaRefs>
    <ds:schemaRef ds:uri="http://schemas.openxmlformats.org/officeDocument/2006/bibliography"/>
  </ds:schemaRefs>
</ds:datastoreItem>
</file>

<file path=customXml/itemProps3.xml><?xml version="1.0" encoding="utf-8"?>
<ds:datastoreItem xmlns:ds="http://schemas.openxmlformats.org/officeDocument/2006/customXml" ds:itemID="{1B7040F3-7BD3-4FDF-BAEB-2BECFFBB7D28}">
  <ds:schemaRefs>
    <ds:schemaRef ds:uri="http://schemas.microsoft.com/office/2006/metadata/properties"/>
    <ds:schemaRef ds:uri="http://schemas.microsoft.com/office/infopath/2007/PartnerControls"/>
    <ds:schemaRef ds:uri="e8832a6e-4e77-4815-9739-6f38a0f8b31e"/>
    <ds:schemaRef ds:uri="334cc7d4-6c5a-47c8-b35b-5e1cce5135f2"/>
  </ds:schemaRefs>
</ds:datastoreItem>
</file>

<file path=customXml/itemProps4.xml><?xml version="1.0" encoding="utf-8"?>
<ds:datastoreItem xmlns:ds="http://schemas.openxmlformats.org/officeDocument/2006/customXml" ds:itemID="{C0D068D4-63E6-47D2-9622-D479E4517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4cc7d4-6c5a-47c8-b35b-5e1cce5135f2"/>
    <ds:schemaRef ds:uri="e8832a6e-4e77-4815-9739-6f38a0f8b3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084b924-3ab4-4116-9251-9939f695e54c}" enabled="0" method="" siteId="{0084b924-3ab4-4116-9251-9939f695e54c}" removed="1"/>
</clbl:labelList>
</file>

<file path=docProps/app.xml><?xml version="1.0" encoding="utf-8"?>
<Properties xmlns="http://schemas.openxmlformats.org/officeDocument/2006/extended-properties" xmlns:vt="http://schemas.openxmlformats.org/officeDocument/2006/docPropsVTypes">
  <Template>AECOM_Report</Template>
  <TotalTime>1155</TotalTime>
  <Pages>27</Pages>
  <Words>10882</Words>
  <Characters>62030</Characters>
  <Application>Microsoft Office Word</Application>
  <DocSecurity>0</DocSecurity>
  <Lines>516</Lines>
  <Paragraphs>145</Paragraphs>
  <ScaleCrop>false</ScaleCrop>
  <Company>AECOM Ireland Limited</Company>
  <LinksUpToDate>false</LinksUpToDate>
  <CharactersWithSpaces>72767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Innovation and Creativity District, USRF 2022</dc:title>
  <dc:subject>National University of Ireland, Galway</dc:subject>
  <dc:creator>patrick.faherty@universityofgalway.ie</dc:creator>
  <cp:keywords>Project ref:   Project number:</cp:keywords>
  <cp:lastModifiedBy>Thornhill, Kate</cp:lastModifiedBy>
  <cp:revision>50</cp:revision>
  <cp:lastPrinted>2025-04-30T13:37:00Z</cp:lastPrinted>
  <dcterms:created xsi:type="dcterms:W3CDTF">2025-07-22T07:38:00Z</dcterms:created>
  <dcterms:modified xsi:type="dcterms:W3CDTF">2025-07-25T10:28:00Z</dcterms:modified>
  <cp:category>Report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t:lpwstr>AECOM_Report</vt:lpwstr>
  </property>
  <property fmtid="{D5CDD505-2E9C-101B-9397-08002B2CF9AE}" pid="3" name="TemplateVersion">
    <vt:lpwstr>3.1</vt:lpwstr>
  </property>
  <property fmtid="{D5CDD505-2E9C-101B-9397-08002B2CF9AE}" pid="4" name="HeaderTitle">
    <vt:lpwstr>NUIG Learning Commons</vt:lpwstr>
  </property>
  <property fmtid="{D5CDD505-2E9C-101B-9397-08002B2CF9AE}" pid="5" name="ProtectiveMarking">
    <vt:lpwstr/>
  </property>
  <property fmtid="{D5CDD505-2E9C-101B-9397-08002B2CF9AE}" pid="6" name="HeaderClient">
    <vt:lpwstr> </vt:lpwstr>
  </property>
  <property fmtid="{D5CDD505-2E9C-101B-9397-08002B2CF9AE}" pid="7" name="AdditionalCompanyName">
    <vt:lpwstr/>
  </property>
  <property fmtid="{D5CDD505-2E9C-101B-9397-08002B2CF9AE}" pid="8" name="ClientName">
    <vt:lpwstr>National University of Ireland, Galway</vt:lpwstr>
  </property>
  <property fmtid="{D5CDD505-2E9C-101B-9397-08002B2CF9AE}" pid="9" name="TenderStage">
    <vt:lpwstr/>
  </property>
  <property fmtid="{D5CDD505-2E9C-101B-9397-08002B2CF9AE}" pid="10" name="ProjectRef">
    <vt:lpwstr> </vt:lpwstr>
  </property>
  <property fmtid="{D5CDD505-2E9C-101B-9397-08002B2CF9AE}" pid="11" name="ProjectNumber">
    <vt:lpwstr> </vt:lpwstr>
  </property>
  <property fmtid="{D5CDD505-2E9C-101B-9397-08002B2CF9AE}" pid="12" name="CopyNo">
    <vt:lpwstr>&lt;CopyNo&gt;</vt:lpwstr>
  </property>
  <property fmtid="{D5CDD505-2E9C-101B-9397-08002B2CF9AE}" pid="13" name="CopyNoTotal">
    <vt:lpwstr>&lt;CopyNoTotal&gt;</vt:lpwstr>
  </property>
  <property fmtid="{D5CDD505-2E9C-101B-9397-08002B2CF9AE}" pid="14" name="SupplementaryTitle">
    <vt:lpwstr/>
  </property>
  <property fmtid="{D5CDD505-2E9C-101B-9397-08002B2CF9AE}" pid="15" name="Subtitle">
    <vt:lpwstr>Preliminary Business Case</vt:lpwstr>
  </property>
  <property fmtid="{D5CDD505-2E9C-101B-9397-08002B2CF9AE}" pid="16" name="DocumentReference">
    <vt:lpwstr/>
  </property>
  <property fmtid="{D5CDD505-2E9C-101B-9397-08002B2CF9AE}" pid="17" name="Date">
    <vt:lpwstr>July 2022</vt:lpwstr>
  </property>
  <property fmtid="{D5CDD505-2E9C-101B-9397-08002B2CF9AE}" pid="18" name="Copies">
    <vt:lpwstr/>
  </property>
  <property fmtid="{D5CDD505-2E9C-101B-9397-08002B2CF9AE}" pid="19" name="ProjectRefSlash">
    <vt:lpwstr> / </vt:lpwstr>
  </property>
  <property fmtid="{D5CDD505-2E9C-101B-9397-08002B2CF9AE}" pid="20" name="DocumentTitle">
    <vt:lpwstr>NUIG Learning Commons</vt:lpwstr>
  </property>
  <property fmtid="{D5CDD505-2E9C-101B-9397-08002B2CF9AE}" pid="21" name="FooterClientAddress">
    <vt:lpwstr/>
  </property>
  <property fmtid="{D5CDD505-2E9C-101B-9397-08002B2CF9AE}" pid="22" name="ClientNumber">
    <vt:lpwstr/>
  </property>
  <property fmtid="{D5CDD505-2E9C-101B-9397-08002B2CF9AE}" pid="23" name="Draft">
    <vt:lpwstr> </vt:lpwstr>
  </property>
  <property fmtid="{D5CDD505-2E9C-101B-9397-08002B2CF9AE}" pid="24" name="AccreditationText">
    <vt:lpwstr/>
  </property>
  <property fmtid="{D5CDD505-2E9C-101B-9397-08002B2CF9AE}" pid="25" name="GreenInitiative">
    <vt:lpwstr/>
  </property>
  <property fmtid="{D5CDD505-2E9C-101B-9397-08002B2CF9AE}" pid="26" name="PreparedBy">
    <vt:lpwstr>&lt;PreparedBy&gt;</vt:lpwstr>
  </property>
  <property fmtid="{D5CDD505-2E9C-101B-9397-08002B2CF9AE}" pid="27" name="ShowFilePath">
    <vt:lpwstr>0</vt:lpwstr>
  </property>
  <property fmtid="{D5CDD505-2E9C-101B-9397-08002B2CF9AE}" pid="28" name="PreparedFor">
    <vt:lpwstr>Prepared for: </vt:lpwstr>
  </property>
  <property fmtid="{D5CDD505-2E9C-101B-9397-08002B2CF9AE}" pid="29" name="InAssociationWith">
    <vt:lpwstr> </vt:lpwstr>
  </property>
  <property fmtid="{D5CDD505-2E9C-101B-9397-08002B2CF9AE}" pid="30" name="ShowFileName">
    <vt:lpwstr>0</vt:lpwstr>
  </property>
  <property fmtid="{D5CDD505-2E9C-101B-9397-08002B2CF9AE}" pid="31" name="ContentTypeId">
    <vt:lpwstr>0x010100BAB8171D4749C447AAD4404C30CDB6E6</vt:lpwstr>
  </property>
  <property fmtid="{D5CDD505-2E9C-101B-9397-08002B2CF9AE}" pid="32" name="MediaServiceImageTags">
    <vt:lpwstr/>
  </property>
</Properties>
</file>