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B53400" w:rsidRPr="002D49D4" w:rsidTr="00356FB9">
        <w:tc>
          <w:tcPr>
            <w:tcW w:w="9016" w:type="dxa"/>
            <w:tcBorders>
              <w:bottom w:val="single" w:sz="4" w:space="0" w:color="auto"/>
            </w:tcBorders>
            <w:shd w:val="clear" w:color="auto" w:fill="235D64"/>
          </w:tcPr>
          <w:p w:rsidR="00B53400" w:rsidRPr="00B53400" w:rsidRDefault="00B53400" w:rsidP="00B53400">
            <w:pPr>
              <w:spacing w:after="0"/>
              <w:ind w:left="357"/>
              <w:jc w:val="center"/>
              <w:rPr>
                <w:rFonts w:ascii="Calibri" w:eastAsia="Calibri" w:hAnsi="Calibri" w:cs="Calibri"/>
                <w:b/>
                <w:bCs/>
                <w:color w:val="FFFFFF" w:themeColor="background1"/>
                <w:sz w:val="24"/>
                <w:szCs w:val="24"/>
                <w:lang w:val="en-US"/>
              </w:rPr>
            </w:pPr>
            <w:r w:rsidRPr="00657A07">
              <w:rPr>
                <w:rFonts w:ascii="Calibri" w:eastAsia="Calibri" w:hAnsi="Calibri" w:cs="Calibri"/>
                <w:b/>
                <w:bCs/>
                <w:color w:val="FFC000"/>
                <w:lang w:val="en-US"/>
              </w:rPr>
              <w:br w:type="page"/>
            </w:r>
          </w:p>
          <w:p w:rsidR="00B53400" w:rsidRPr="00657A07" w:rsidRDefault="00CA6E37" w:rsidP="00CA6E37">
            <w:pPr>
              <w:jc w:val="center"/>
              <w:rPr>
                <w:rFonts w:ascii="Calibri" w:eastAsia="Calibri" w:hAnsi="Calibri" w:cs="Calibri"/>
                <w:b/>
                <w:bCs/>
                <w:color w:val="FFC000"/>
                <w:lang w:val="en-US"/>
              </w:rPr>
            </w:pPr>
            <w:r w:rsidRPr="00CA6E37">
              <w:rPr>
                <w:b/>
                <w:bCs/>
                <w:color w:val="FFFFFF" w:themeColor="background1"/>
                <w:sz w:val="24"/>
                <w:szCs w:val="24"/>
              </w:rPr>
              <w:t>Statement with regard to EU Regulation 2022/576</w:t>
            </w:r>
          </w:p>
        </w:tc>
      </w:tr>
    </w:tbl>
    <w:p w:rsidR="00F703EB" w:rsidRDefault="00FB2CA8"/>
    <w:p w:rsidR="00B53400" w:rsidRPr="00B53400" w:rsidRDefault="00B53400" w:rsidP="00B53400">
      <w:pPr>
        <w:spacing w:line="276" w:lineRule="auto"/>
        <w:rPr>
          <w:b/>
          <w:lang w:val="en-GB"/>
        </w:rPr>
      </w:pPr>
      <w:r w:rsidRPr="00B53400">
        <w:rPr>
          <w:b/>
          <w:sz w:val="24"/>
          <w:szCs w:val="24"/>
        </w:rPr>
        <w:t xml:space="preserve">The European Council recently adopted a new regulation – EU Regulation 2022/576 aimed at restricting participation in economic activity by economic operators from the Russian Federation. </w:t>
      </w:r>
    </w:p>
    <w:p w:rsidR="00B53400" w:rsidRDefault="001E2CF1" w:rsidP="00B53400">
      <w:pPr>
        <w:spacing w:line="276" w:lineRule="auto"/>
        <w:rPr>
          <w:b/>
          <w:sz w:val="24"/>
          <w:szCs w:val="24"/>
        </w:rPr>
      </w:pPr>
      <w:r>
        <w:rPr>
          <w:b/>
          <w:sz w:val="24"/>
          <w:szCs w:val="24"/>
        </w:rPr>
        <w:t>You are now required to</w:t>
      </w:r>
      <w:r w:rsidR="00B53400" w:rsidRPr="00B53400">
        <w:rPr>
          <w:b/>
          <w:sz w:val="24"/>
          <w:szCs w:val="24"/>
        </w:rPr>
        <w:t xml:space="preserve"> complete and return the below Declaration</w:t>
      </w:r>
      <w:r w:rsidRPr="001E2CF1">
        <w:rPr>
          <w:b/>
          <w:sz w:val="24"/>
          <w:szCs w:val="24"/>
        </w:rPr>
        <w:t xml:space="preserve"> </w:t>
      </w:r>
      <w:r w:rsidRPr="00B53400">
        <w:rPr>
          <w:b/>
          <w:sz w:val="24"/>
          <w:szCs w:val="24"/>
        </w:rPr>
        <w:t>on your companies headed notepaper</w:t>
      </w:r>
      <w:r>
        <w:rPr>
          <w:b/>
          <w:sz w:val="24"/>
          <w:szCs w:val="24"/>
        </w:rPr>
        <w:t xml:space="preserve"> (Reference Box below).</w:t>
      </w:r>
    </w:p>
    <w:p w:rsidR="00CA6E37" w:rsidRPr="00B53400" w:rsidRDefault="00CA6E37" w:rsidP="00B53400">
      <w:pPr>
        <w:spacing w:line="276" w:lineRule="auto"/>
        <w:rPr>
          <w:b/>
          <w:lang w:val="en-GB"/>
        </w:rPr>
      </w:pPr>
    </w:p>
    <w:tbl>
      <w:tblPr>
        <w:tblW w:w="0" w:type="auto"/>
        <w:tblCellMar>
          <w:left w:w="0" w:type="dxa"/>
          <w:right w:w="0" w:type="dxa"/>
        </w:tblCellMar>
        <w:tblLook w:val="04A0" w:firstRow="1" w:lastRow="0" w:firstColumn="1" w:lastColumn="0" w:noHBand="0" w:noVBand="1"/>
      </w:tblPr>
      <w:tblGrid>
        <w:gridCol w:w="9006"/>
      </w:tblGrid>
      <w:tr w:rsidR="00B53400" w:rsidTr="00B53400">
        <w:tc>
          <w:tcPr>
            <w:tcW w:w="9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r>
              <w:rPr>
                <w:b/>
                <w:bCs/>
                <w:u w:val="single"/>
              </w:rPr>
              <w:t>Statement with regard to EU Regulation 2022/576</w:t>
            </w:r>
          </w:p>
          <w:p w:rsidR="00B53400" w:rsidRDefault="00B53400">
            <w:r>
              <w:t> </w:t>
            </w:r>
          </w:p>
          <w:p w:rsidR="00B53400" w:rsidRDefault="00B53400">
            <w:r>
              <w:t xml:space="preserve">The European Council recently adopted a new regulation – EU Regulation 2022/576 aimed at restricting participation in economic activity by economic operators from the Russian Federation. Article 5k of the Regulation applies to public procurement procedures for the award of contracts under the provisions of Directives 2014/23/EU, 2014/24/EU, 2014/25/EU and 2009/81/EC – above threshold only. Please review Article 5k shown below and confirm any Contracts undertaken, shall, in the performance of such contract, comply with Article 5k of EU Regulation 2022/576. </w:t>
            </w:r>
          </w:p>
          <w:p w:rsidR="00B53400" w:rsidRDefault="00B53400">
            <w:r>
              <w:t> </w:t>
            </w:r>
          </w:p>
          <w:p w:rsidR="00B53400" w:rsidRDefault="00B53400">
            <w:pPr>
              <w:pStyle w:val="Default"/>
              <w:ind w:left="720"/>
            </w:pPr>
            <w:r>
              <w:rPr>
                <w:i/>
                <w:iCs/>
                <w:color w:val="auto"/>
                <w:sz w:val="19"/>
                <w:szCs w:val="19"/>
              </w:rPr>
              <w:t>Article 5k</w:t>
            </w:r>
          </w:p>
          <w:p w:rsidR="00B53400" w:rsidRDefault="00B53400">
            <w:pPr>
              <w:pStyle w:val="Default"/>
              <w:ind w:left="720"/>
            </w:pPr>
            <w:r>
              <w:rPr>
                <w:color w:val="auto"/>
                <w:sz w:val="19"/>
                <w:szCs w:val="19"/>
              </w:rPr>
              <w:t>1.</w:t>
            </w:r>
          </w:p>
          <w:p w:rsidR="00B53400" w:rsidRDefault="00B53400">
            <w:pPr>
              <w:pStyle w:val="Default"/>
              <w:spacing w:after="220"/>
              <w:ind w:left="720"/>
            </w:pPr>
            <w:r>
              <w:rPr>
                <w:color w:val="auto"/>
                <w:sz w:val="19"/>
                <w:szCs w:val="19"/>
              </w:rPr>
              <w:t>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Pr>
                <w:color w:val="auto"/>
                <w:sz w:val="19"/>
                <w:szCs w:val="19"/>
              </w:rPr>
              <w:t>i</w:t>
            </w:r>
            <w:proofErr w:type="spellEnd"/>
            <w:r>
              <w:rPr>
                <w:color w:val="auto"/>
                <w:sz w:val="19"/>
                <w:szCs w:val="19"/>
              </w:rPr>
              <w:t>), Articles 29 and 30 of Directive 2014/25/EU and Article 13 (a) to (d), (f) to (h) and (j) of Directive 2009/81/EC, to or with:</w:t>
            </w:r>
          </w:p>
          <w:p w:rsidR="00B53400" w:rsidRDefault="00B53400" w:rsidP="00B53400">
            <w:pPr>
              <w:pStyle w:val="Default"/>
              <w:numPr>
                <w:ilvl w:val="0"/>
                <w:numId w:val="2"/>
              </w:numPr>
              <w:ind w:left="1440"/>
            </w:pPr>
            <w:r>
              <w:rPr>
                <w:color w:val="auto"/>
                <w:sz w:val="19"/>
                <w:szCs w:val="19"/>
              </w:rPr>
              <w:t>a Russian national, or a natural or legal person, entity or body established in Russia;</w:t>
            </w:r>
          </w:p>
          <w:p w:rsidR="00B53400" w:rsidRDefault="00B53400">
            <w:pPr>
              <w:pStyle w:val="Default"/>
              <w:ind w:left="720"/>
            </w:pPr>
            <w:r>
              <w:rPr>
                <w:color w:val="auto"/>
                <w:sz w:val="19"/>
                <w:szCs w:val="19"/>
              </w:rPr>
              <w:t> </w:t>
            </w:r>
          </w:p>
          <w:p w:rsidR="00B53400" w:rsidRDefault="00B53400" w:rsidP="00B53400">
            <w:pPr>
              <w:pStyle w:val="Default"/>
              <w:numPr>
                <w:ilvl w:val="0"/>
                <w:numId w:val="2"/>
              </w:numPr>
              <w:ind w:left="1440"/>
            </w:pPr>
            <w:r>
              <w:rPr>
                <w:color w:val="auto"/>
                <w:sz w:val="19"/>
                <w:szCs w:val="19"/>
              </w:rPr>
              <w:t>a legal person, entity or body whose proprietary rights are directly or indirectly owned for more than 50 % by an entity referred to in point (a) of this paragraph; or</w:t>
            </w:r>
          </w:p>
          <w:p w:rsidR="00B53400" w:rsidRDefault="00B53400">
            <w:pPr>
              <w:pStyle w:val="Default"/>
              <w:ind w:left="720"/>
            </w:pPr>
            <w:r>
              <w:rPr>
                <w:color w:val="auto"/>
                <w:sz w:val="19"/>
                <w:szCs w:val="19"/>
              </w:rPr>
              <w:t> </w:t>
            </w:r>
          </w:p>
          <w:p w:rsidR="00B53400" w:rsidRDefault="00B53400" w:rsidP="00B53400">
            <w:pPr>
              <w:pStyle w:val="Default"/>
              <w:numPr>
                <w:ilvl w:val="0"/>
                <w:numId w:val="2"/>
              </w:numPr>
              <w:ind w:left="1440"/>
            </w:pPr>
            <w:r>
              <w:rPr>
                <w:color w:val="auto"/>
                <w:sz w:val="19"/>
                <w:szCs w:val="19"/>
              </w:rPr>
              <w:t>a natural or legal person, entity or body acting on behalf or at the direction of an entity referred to in point (a) or (b) of this paragraph, including, where they account for more than 10 % of the contract value, subcontractors, suppliers or entities whose capacities are being relied on within the meaning of the public procurement Directives.</w:t>
            </w:r>
          </w:p>
          <w:p w:rsidR="00B53400" w:rsidRDefault="00B53400">
            <w:pPr>
              <w:pStyle w:val="Default"/>
              <w:ind w:left="720"/>
            </w:pPr>
            <w:r>
              <w:rPr>
                <w:color w:val="auto"/>
                <w:sz w:val="19"/>
                <w:szCs w:val="19"/>
              </w:rPr>
              <w:t>2.</w:t>
            </w:r>
          </w:p>
          <w:p w:rsidR="00B53400" w:rsidRDefault="00B53400">
            <w:pPr>
              <w:pStyle w:val="Default"/>
              <w:spacing w:after="221"/>
              <w:ind w:left="720"/>
            </w:pPr>
            <w:r>
              <w:rPr>
                <w:color w:val="auto"/>
                <w:sz w:val="19"/>
                <w:szCs w:val="19"/>
              </w:rPr>
              <w:t>By way of derogation from paragraph 1, the competent authorities may authorise the award and continued execution of contracts intended for:</w:t>
            </w:r>
          </w:p>
          <w:p w:rsidR="00B53400" w:rsidRDefault="00B53400" w:rsidP="00B53400">
            <w:pPr>
              <w:pStyle w:val="Default"/>
              <w:numPr>
                <w:ilvl w:val="0"/>
                <w:numId w:val="3"/>
              </w:numPr>
              <w:ind w:left="1440"/>
            </w:pPr>
            <w:r>
              <w:rPr>
                <w:color w:val="auto"/>
                <w:sz w:val="19"/>
                <w:szCs w:val="19"/>
              </w:rPr>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rsidR="00B53400" w:rsidRDefault="00B53400">
            <w:pPr>
              <w:pStyle w:val="Default"/>
              <w:ind w:left="720"/>
              <w:rPr>
                <w:color w:val="auto"/>
                <w:sz w:val="19"/>
                <w:szCs w:val="19"/>
              </w:rPr>
            </w:pPr>
            <w:r>
              <w:rPr>
                <w:color w:val="auto"/>
                <w:sz w:val="19"/>
                <w:szCs w:val="19"/>
              </w:rPr>
              <w:t> </w:t>
            </w:r>
          </w:p>
          <w:p w:rsidR="00FB2CA8" w:rsidRDefault="00FB2CA8">
            <w:pPr>
              <w:pStyle w:val="Default"/>
              <w:ind w:left="720"/>
            </w:pPr>
            <w:bookmarkStart w:id="0" w:name="_GoBack"/>
            <w:bookmarkEnd w:id="0"/>
          </w:p>
          <w:p w:rsidR="00B53400" w:rsidRDefault="00B53400" w:rsidP="00B53400">
            <w:pPr>
              <w:pStyle w:val="Default"/>
              <w:numPr>
                <w:ilvl w:val="0"/>
                <w:numId w:val="3"/>
              </w:numPr>
              <w:ind w:left="1440"/>
            </w:pPr>
            <w:r>
              <w:rPr>
                <w:color w:val="auto"/>
                <w:sz w:val="19"/>
                <w:szCs w:val="19"/>
              </w:rPr>
              <w:lastRenderedPageBreak/>
              <w:t>intergovernmental cooperation in space programmes;</w:t>
            </w:r>
          </w:p>
          <w:p w:rsidR="00B53400" w:rsidRDefault="00B53400">
            <w:pPr>
              <w:pStyle w:val="Default"/>
              <w:ind w:left="720"/>
            </w:pPr>
            <w:r>
              <w:rPr>
                <w:color w:val="auto"/>
                <w:sz w:val="19"/>
                <w:szCs w:val="19"/>
              </w:rPr>
              <w:t> </w:t>
            </w:r>
          </w:p>
          <w:p w:rsidR="00B53400" w:rsidRDefault="00B53400" w:rsidP="00B53400">
            <w:pPr>
              <w:pStyle w:val="Default"/>
              <w:numPr>
                <w:ilvl w:val="0"/>
                <w:numId w:val="3"/>
              </w:numPr>
              <w:ind w:left="1440"/>
            </w:pPr>
            <w:r>
              <w:rPr>
                <w:color w:val="auto"/>
                <w:sz w:val="19"/>
                <w:szCs w:val="19"/>
              </w:rPr>
              <w:t>the provision of strictly necessary goods or services which can only be provided, or which can only be provided in sufficient quantities, by the persons referred to in paragraph 1;</w:t>
            </w:r>
          </w:p>
          <w:p w:rsidR="00B53400" w:rsidRDefault="00B53400">
            <w:pPr>
              <w:pStyle w:val="Default"/>
              <w:ind w:left="720"/>
            </w:pPr>
            <w:r>
              <w:rPr>
                <w:color w:val="auto"/>
                <w:sz w:val="19"/>
                <w:szCs w:val="19"/>
              </w:rPr>
              <w:t> </w:t>
            </w:r>
          </w:p>
          <w:p w:rsidR="00B53400" w:rsidRDefault="00B53400" w:rsidP="00B53400">
            <w:pPr>
              <w:pStyle w:val="Default"/>
              <w:numPr>
                <w:ilvl w:val="0"/>
                <w:numId w:val="3"/>
              </w:numPr>
              <w:ind w:left="1440"/>
            </w:pPr>
            <w:r>
              <w:rPr>
                <w:color w:val="auto"/>
                <w:sz w:val="19"/>
                <w:szCs w:val="19"/>
              </w:rPr>
              <w:t>the functioning of diplomatic and consular representations of the Union and of the Member States in Russia, including delegations, embassies and missions, or international organisations in Russia enjoying immunities in accordance with international law;</w:t>
            </w:r>
          </w:p>
          <w:p w:rsidR="00B53400" w:rsidRDefault="00B53400">
            <w:pPr>
              <w:pStyle w:val="Default"/>
              <w:ind w:left="720"/>
            </w:pPr>
            <w:r>
              <w:rPr>
                <w:color w:val="auto"/>
                <w:sz w:val="19"/>
                <w:szCs w:val="19"/>
              </w:rPr>
              <w:t> </w:t>
            </w:r>
          </w:p>
          <w:p w:rsidR="00B53400" w:rsidRDefault="00B53400" w:rsidP="00B53400">
            <w:pPr>
              <w:pStyle w:val="Default"/>
              <w:numPr>
                <w:ilvl w:val="0"/>
                <w:numId w:val="3"/>
              </w:numPr>
              <w:ind w:left="1440"/>
            </w:pPr>
            <w:r>
              <w:rPr>
                <w:color w:val="auto"/>
                <w:sz w:val="19"/>
                <w:szCs w:val="19"/>
              </w:rPr>
              <w:t>the purchase, import or transport of natural gas and oil, including refined petroleum products, as well as titanium, aluminium, copper, nickel, palladium and iron ore from or through Russia into the Union; or</w:t>
            </w:r>
          </w:p>
          <w:p w:rsidR="00B53400" w:rsidRDefault="00B53400">
            <w:pPr>
              <w:pStyle w:val="Default"/>
              <w:ind w:left="720"/>
            </w:pPr>
            <w:r>
              <w:rPr>
                <w:color w:val="auto"/>
                <w:sz w:val="19"/>
                <w:szCs w:val="19"/>
              </w:rPr>
              <w:t> </w:t>
            </w:r>
          </w:p>
          <w:p w:rsidR="00B53400" w:rsidRDefault="00B53400" w:rsidP="00B53400">
            <w:pPr>
              <w:pStyle w:val="Default"/>
              <w:numPr>
                <w:ilvl w:val="0"/>
                <w:numId w:val="3"/>
              </w:numPr>
              <w:ind w:left="1440"/>
            </w:pPr>
            <w:r>
              <w:rPr>
                <w:color w:val="auto"/>
                <w:sz w:val="19"/>
                <w:szCs w:val="19"/>
              </w:rPr>
              <w:t>the purchase, import or transport into the Union of coal and other solid fossil fuels, as listed in Annex XXII until 10 August 2022.</w:t>
            </w:r>
          </w:p>
          <w:p w:rsidR="00B53400" w:rsidRDefault="00B53400">
            <w:pPr>
              <w:pStyle w:val="Default"/>
              <w:ind w:left="720"/>
            </w:pPr>
            <w:r>
              <w:rPr>
                <w:color w:val="auto"/>
                <w:sz w:val="19"/>
                <w:szCs w:val="19"/>
              </w:rPr>
              <w:t> </w:t>
            </w:r>
          </w:p>
          <w:p w:rsidR="00B53400" w:rsidRDefault="00B53400">
            <w:pPr>
              <w:pStyle w:val="Default"/>
              <w:ind w:left="720"/>
            </w:pPr>
            <w:r>
              <w:rPr>
                <w:color w:val="auto"/>
                <w:sz w:val="19"/>
                <w:szCs w:val="19"/>
              </w:rPr>
              <w:t>3.</w:t>
            </w:r>
          </w:p>
          <w:p w:rsidR="00B53400" w:rsidRDefault="00B53400">
            <w:pPr>
              <w:pStyle w:val="Default"/>
              <w:ind w:left="720"/>
            </w:pPr>
            <w:r>
              <w:rPr>
                <w:color w:val="auto"/>
                <w:sz w:val="19"/>
                <w:szCs w:val="19"/>
              </w:rPr>
              <w:t>The Member State concerned shall inform the other Member States and the Commission of any authorisations granted under this Article within two weeks of the authorisation.</w:t>
            </w:r>
          </w:p>
          <w:p w:rsidR="00B53400" w:rsidRDefault="00B53400">
            <w:pPr>
              <w:pStyle w:val="Default"/>
              <w:ind w:left="720"/>
            </w:pPr>
            <w:r>
              <w:rPr>
                <w:color w:val="auto"/>
                <w:sz w:val="19"/>
                <w:szCs w:val="19"/>
              </w:rPr>
              <w:t>4.</w:t>
            </w:r>
          </w:p>
          <w:p w:rsidR="00B53400" w:rsidRDefault="00B53400">
            <w:pPr>
              <w:pStyle w:val="Default"/>
              <w:ind w:left="720"/>
            </w:pPr>
            <w:r>
              <w:rPr>
                <w:color w:val="auto"/>
                <w:sz w:val="19"/>
                <w:szCs w:val="19"/>
              </w:rPr>
              <w:t xml:space="preserve">The prohibitions in paragraph 1 shall not apply to the execution until 10 October 2022 of contracts concluded before 9 April 2022. </w:t>
            </w:r>
          </w:p>
          <w:p w:rsidR="00B53400" w:rsidRDefault="00B53400">
            <w:r>
              <w:t> </w:t>
            </w:r>
          </w:p>
          <w:p w:rsidR="00B53400" w:rsidRDefault="00B53400">
            <w:r>
              <w:t xml:space="preserve">We confirm, for any current contracts and/or contracts to be undertaken, we shall, in the performance of such contract, comply with Article 5k of EU Regulation 2022/576. </w:t>
            </w:r>
          </w:p>
          <w:p w:rsidR="00B53400" w:rsidRDefault="00B53400">
            <w:r>
              <w:t>Furthermore, in the event of any change in our status or standing with regard to EU Regulation 2022/576, we undertake to immediately notify the Contracting Authority and will comply with all directions with regard to EU Regulation 2022/576, which may include termination of any Contract or Agreement.</w:t>
            </w:r>
          </w:p>
          <w:p w:rsidR="00B53400" w:rsidRDefault="00B53400">
            <w:r>
              <w:t> </w:t>
            </w:r>
          </w:p>
          <w:tbl>
            <w:tblPr>
              <w:tblW w:w="0" w:type="auto"/>
              <w:tblCellMar>
                <w:left w:w="0" w:type="dxa"/>
                <w:right w:w="0" w:type="dxa"/>
              </w:tblCellMar>
              <w:tblLook w:val="04A0" w:firstRow="1" w:lastRow="0" w:firstColumn="1" w:lastColumn="0" w:noHBand="0" w:noVBand="1"/>
            </w:tblPr>
            <w:tblGrid>
              <w:gridCol w:w="3222"/>
              <w:gridCol w:w="4891"/>
            </w:tblGrid>
            <w:tr w:rsidR="00B53400" w:rsidTr="00B53400">
              <w:trPr>
                <w:trHeight w:val="1071"/>
              </w:trPr>
              <w:tc>
                <w:tcPr>
                  <w:tcW w:w="0" w:type="auto"/>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rPr>
                      <w:b/>
                      <w:bCs/>
                    </w:rPr>
                    <w:t xml:space="preserve">Signed: </w:t>
                  </w:r>
                  <w:r>
                    <w:t xml:space="preserve">(Authorised Representative/Authorised Signatory) </w:t>
                  </w:r>
                </w:p>
              </w:tc>
            </w:tr>
            <w:tr w:rsidR="00B53400" w:rsidTr="00B53400">
              <w:trPr>
                <w:trHeight w:val="407"/>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rPr>
                      <w:b/>
                      <w:bCs/>
                    </w:rPr>
                    <w:t xml:space="preserve">Print Name in Block Capitals: </w:t>
                  </w:r>
                </w:p>
              </w:tc>
              <w:tc>
                <w:tcPr>
                  <w:tcW w:w="4891" w:type="dxa"/>
                  <w:tcBorders>
                    <w:top w:val="nil"/>
                    <w:left w:val="nil"/>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t> </w:t>
                  </w:r>
                </w:p>
              </w:tc>
            </w:tr>
            <w:tr w:rsidR="00B53400">
              <w:trPr>
                <w:trHeight w:val="11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rPr>
                      <w:b/>
                      <w:bCs/>
                    </w:rPr>
                    <w:t xml:space="preserve">Position: </w:t>
                  </w:r>
                </w:p>
              </w:tc>
              <w:tc>
                <w:tcPr>
                  <w:tcW w:w="4891" w:type="dxa"/>
                  <w:tcBorders>
                    <w:top w:val="nil"/>
                    <w:left w:val="nil"/>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t> </w:t>
                  </w:r>
                </w:p>
              </w:tc>
            </w:tr>
            <w:tr w:rsidR="00B53400">
              <w:trPr>
                <w:trHeight w:val="11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rPr>
                      <w:b/>
                      <w:bCs/>
                    </w:rPr>
                    <w:t xml:space="preserve">Company: </w:t>
                  </w:r>
                </w:p>
              </w:tc>
              <w:tc>
                <w:tcPr>
                  <w:tcW w:w="4891" w:type="dxa"/>
                  <w:tcBorders>
                    <w:top w:val="nil"/>
                    <w:left w:val="nil"/>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t> </w:t>
                  </w:r>
                </w:p>
              </w:tc>
            </w:tr>
            <w:tr w:rsidR="00B53400">
              <w:trPr>
                <w:trHeight w:val="11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rPr>
                      <w:b/>
                      <w:bCs/>
                    </w:rPr>
                    <w:t>Name(s) of Director(s)</w:t>
                  </w:r>
                </w:p>
              </w:tc>
              <w:tc>
                <w:tcPr>
                  <w:tcW w:w="4891" w:type="dxa"/>
                  <w:tcBorders>
                    <w:top w:val="nil"/>
                    <w:left w:val="nil"/>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t> </w:t>
                  </w:r>
                </w:p>
              </w:tc>
            </w:tr>
            <w:tr w:rsidR="00B53400">
              <w:trPr>
                <w:trHeight w:val="11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rPr>
                      <w:b/>
                      <w:bCs/>
                    </w:rPr>
                    <w:t xml:space="preserve">Registered Office Address: </w:t>
                  </w:r>
                </w:p>
              </w:tc>
              <w:tc>
                <w:tcPr>
                  <w:tcW w:w="4891" w:type="dxa"/>
                  <w:tcBorders>
                    <w:top w:val="nil"/>
                    <w:left w:val="nil"/>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t> </w:t>
                  </w:r>
                </w:p>
              </w:tc>
            </w:tr>
            <w:tr w:rsidR="00B53400">
              <w:trPr>
                <w:trHeight w:val="11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rPr>
                      <w:b/>
                      <w:bCs/>
                    </w:rPr>
                    <w:t xml:space="preserve">Date: </w:t>
                  </w:r>
                </w:p>
              </w:tc>
              <w:tc>
                <w:tcPr>
                  <w:tcW w:w="4891" w:type="dxa"/>
                  <w:tcBorders>
                    <w:top w:val="nil"/>
                    <w:left w:val="nil"/>
                    <w:bottom w:val="single" w:sz="8" w:space="0" w:color="auto"/>
                    <w:right w:val="single" w:sz="8" w:space="0" w:color="auto"/>
                  </w:tcBorders>
                  <w:tcMar>
                    <w:top w:w="0" w:type="dxa"/>
                    <w:left w:w="108" w:type="dxa"/>
                    <w:bottom w:w="0" w:type="dxa"/>
                    <w:right w:w="108" w:type="dxa"/>
                  </w:tcMar>
                  <w:hideMark/>
                </w:tcPr>
                <w:p w:rsidR="00B53400" w:rsidRDefault="00B53400">
                  <w:pPr>
                    <w:autoSpaceDE w:val="0"/>
                    <w:autoSpaceDN w:val="0"/>
                  </w:pPr>
                  <w:r>
                    <w:t> </w:t>
                  </w:r>
                </w:p>
              </w:tc>
            </w:tr>
          </w:tbl>
          <w:p w:rsidR="00B53400" w:rsidRDefault="00B53400">
            <w:pPr>
              <w:rPr>
                <w:rFonts w:ascii="Calibri" w:hAnsi="Calibri" w:cs="Calibri"/>
              </w:rPr>
            </w:pPr>
            <w:r>
              <w:t> </w:t>
            </w:r>
          </w:p>
          <w:p w:rsidR="00B53400" w:rsidRDefault="00B53400">
            <w:r>
              <w:t> </w:t>
            </w:r>
          </w:p>
        </w:tc>
      </w:tr>
    </w:tbl>
    <w:p w:rsidR="00B53400" w:rsidRDefault="00B53400"/>
    <w:sectPr w:rsidR="00B534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E40D5"/>
    <w:multiLevelType w:val="hybridMultilevel"/>
    <w:tmpl w:val="A064B408"/>
    <w:lvl w:ilvl="0" w:tplc="99D628E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3A052457"/>
    <w:multiLevelType w:val="hybridMultilevel"/>
    <w:tmpl w:val="D88ABCAC"/>
    <w:lvl w:ilvl="0" w:tplc="01FA1A7E">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400"/>
    <w:rsid w:val="001E2CF1"/>
    <w:rsid w:val="00354F37"/>
    <w:rsid w:val="003722E2"/>
    <w:rsid w:val="00B53400"/>
    <w:rsid w:val="00BA7F2B"/>
    <w:rsid w:val="00CA6E37"/>
    <w:rsid w:val="00FB2C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2CF5"/>
  <w15:chartTrackingRefBased/>
  <w15:docId w15:val="{3A5C1E89-7040-4CEB-BD19-9B5F823C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4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B53400"/>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B53400"/>
    <w:rPr>
      <w:rFonts w:ascii="Times New Roman" w:eastAsia="Times New Roman" w:hAnsi="Times New Roman" w:cs="Times New Roman"/>
      <w:sz w:val="24"/>
      <w:szCs w:val="24"/>
      <w:lang w:val="en-GB"/>
    </w:rPr>
  </w:style>
  <w:style w:type="paragraph" w:customStyle="1" w:styleId="Default">
    <w:name w:val="Default"/>
    <w:basedOn w:val="Normal"/>
    <w:rsid w:val="00B53400"/>
    <w:pPr>
      <w:autoSpaceDE w:val="0"/>
      <w:autoSpaceDN w:val="0"/>
      <w:spacing w:after="0" w:line="240" w:lineRule="auto"/>
    </w:pPr>
    <w:rPr>
      <w:rFonts w:ascii="EUAlbertina" w:hAnsi="EUAlbertin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855226">
      <w:bodyDiv w:val="1"/>
      <w:marLeft w:val="0"/>
      <w:marRight w:val="0"/>
      <w:marTop w:val="0"/>
      <w:marBottom w:val="0"/>
      <w:divBdr>
        <w:top w:val="none" w:sz="0" w:space="0" w:color="auto"/>
        <w:left w:val="none" w:sz="0" w:space="0" w:color="auto"/>
        <w:bottom w:val="none" w:sz="0" w:space="0" w:color="auto"/>
        <w:right w:val="none" w:sz="0" w:space="0" w:color="auto"/>
      </w:divBdr>
    </w:div>
    <w:div w:id="1306737235">
      <w:bodyDiv w:val="1"/>
      <w:marLeft w:val="0"/>
      <w:marRight w:val="0"/>
      <w:marTop w:val="0"/>
      <w:marBottom w:val="0"/>
      <w:divBdr>
        <w:top w:val="none" w:sz="0" w:space="0" w:color="auto"/>
        <w:left w:val="none" w:sz="0" w:space="0" w:color="auto"/>
        <w:bottom w:val="none" w:sz="0" w:space="0" w:color="auto"/>
        <w:right w:val="none" w:sz="0" w:space="0" w:color="auto"/>
      </w:divBdr>
    </w:div>
    <w:div w:id="183710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8933196ED14F4048B3922DDDF7475129" ma:contentTypeVersion="17" ma:contentTypeDescription="Create a new document for eDocs" ma:contentTypeScope="" ma:versionID="1de97cca71c0af779eff2a91bf8debdf">
  <xsd:schema xmlns:xsd="http://www.w3.org/2001/XMLSchema" xmlns:xs="http://www.w3.org/2001/XMLSchema" xmlns:p="http://schemas.microsoft.com/office/2006/metadata/properties" xmlns:ns1="http://schemas.microsoft.com/sharepoint/v3" xmlns:ns2="1d941c1c-512c-4e5a-880b-2539402187b7" xmlns:ns3="aafacd08-3afd-4d70-8455-e02e244f09ad" targetNamespace="http://schemas.microsoft.com/office/2006/metadata/properties" ma:root="true" ma:fieldsID="880304b0041fdc735a2f5757f2f91bf9" ns1:_="" ns2:_="" ns3:_="">
    <xsd:import namespace="http://schemas.microsoft.com/sharepoint/v3"/>
    <xsd:import namespace="1d941c1c-512c-4e5a-880b-2539402187b7"/>
    <xsd:import namespace="aafacd08-3afd-4d70-8455-e02e244f09ad"/>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1:OCRLastProcessed"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OCRLastProcessed" ma:index="23"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d941c1c-512c-4e5a-880b-2539402187b7"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default="1;#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facd08-3afd-4d70-8455-e02e244f09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93fb8e-fa24-4a05-b84d-7702e55a22de}" ma:internalName="TaxCatchAll" ma:showField="CatchAllData" ma:web="aafacd08-3afd-4d70-8455-e02e244f09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p:Policy xmlns:p="office.server.policy" id="" local="true">
  <p:Name>eDocument</p:Name>
  <p:Description/>
  <p:Statement/>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SeriesSubSeriesTaxHTField0 xmlns="1d941c1c-512c-4e5a-880b-2539402187b7">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2a5ec3ac-f7ce-47eb-99fc-e0afe62279d4</TermId>
        </TermInfo>
      </Terms>
    </eDocs_SeriesSubSeriesTaxHTField0>
    <eDocs_FileStatus xmlns="http://schemas.microsoft.com/sharepoint/v3">Live</eDocs_FileStatus>
    <eDocs_FileTopicsTaxHTField0 xmlns="1d941c1c-512c-4e5a-880b-2539402187b7">
      <Terms xmlns="http://schemas.microsoft.com/office/infopath/2007/PartnerControls">
        <TermInfo xmlns="http://schemas.microsoft.com/office/infopath/2007/PartnerControls">
          <TermName xmlns="http://schemas.microsoft.com/office/infopath/2007/PartnerControls">UMPFP</TermName>
          <TermId xmlns="http://schemas.microsoft.com/office/infopath/2007/PartnerControls">745edc58-05fa-4a94-bfee-52990c3d9f65</TermId>
        </TermInfo>
      </Terms>
    </eDocs_FileTopicsTaxHTField0>
    <eDocs_FileName xmlns="http://schemas.microsoft.com/sharepoint/v3">OGPSPR002-005-2021</eDocs_FileName>
    <eDocs_SecurityClassificationTaxHTField0 xmlns="1d941c1c-512c-4e5a-880b-2539402187b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TaxCatchAll xmlns="aafacd08-3afd-4d70-8455-e02e244f09ad">
      <Value>5</Value>
      <Value>4</Value>
      <Value>2</Value>
      <Value>1</Value>
    </TaxCatchAll>
    <eDocs_YearTaxHTField0 xmlns="1d941c1c-512c-4e5a-880b-2539402187b7">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51a8ae8d-390f-42d9-8d51-fd376a685e3b</TermId>
        </TermInfo>
      </Terms>
    </eDocs_YearTaxHTField0>
    <eDocs_DocumentTopicsTaxHTField0 xmlns="1d941c1c-512c-4e5a-880b-2539402187b7">
      <Terms xmlns="http://schemas.microsoft.com/office/infopath/2007/PartnerControls"/>
    </eDocs_DocumentTopicsTaxHTField0>
    <OCRLastProcessed xmlns="http://schemas.microsoft.com/sharepoint/v3" xsi:nil="true"/>
  </documentManagement>
</p:properties>
</file>

<file path=customXml/itemProps1.xml><?xml version="1.0" encoding="utf-8"?>
<ds:datastoreItem xmlns:ds="http://schemas.openxmlformats.org/officeDocument/2006/customXml" ds:itemID="{749DA291-C84C-4C9F-BF58-6A5969F82D74}"/>
</file>

<file path=customXml/itemProps2.xml><?xml version="1.0" encoding="utf-8"?>
<ds:datastoreItem xmlns:ds="http://schemas.openxmlformats.org/officeDocument/2006/customXml" ds:itemID="{FC48A883-B914-4891-BFC8-0EB14892A6E2}"/>
</file>

<file path=customXml/itemProps3.xml><?xml version="1.0" encoding="utf-8"?>
<ds:datastoreItem xmlns:ds="http://schemas.openxmlformats.org/officeDocument/2006/customXml" ds:itemID="{3FBF632F-9484-4326-A4D0-70DC7E6EC6FD}"/>
</file>

<file path=customXml/itemProps4.xml><?xml version="1.0" encoding="utf-8"?>
<ds:datastoreItem xmlns:ds="http://schemas.openxmlformats.org/officeDocument/2006/customXml" ds:itemID="{B6D05D18-2306-4772-AA76-23687FB439BA}"/>
</file>

<file path=customXml/itemProps5.xml><?xml version="1.0" encoding="utf-8"?>
<ds:datastoreItem xmlns:ds="http://schemas.openxmlformats.org/officeDocument/2006/customXml" ds:itemID="{E2DC611A-D3BF-4409-B27B-B65DDE87A06D}"/>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Elzbieta Supady (OGP)</dc:creator>
  <cp:keywords/>
  <dc:description/>
  <cp:lastModifiedBy>Elzbieta Supady (OGP)</cp:lastModifiedBy>
  <cp:revision>3</cp:revision>
  <dcterms:created xsi:type="dcterms:W3CDTF">2022-09-07T12:10:00Z</dcterms:created>
  <dcterms:modified xsi:type="dcterms:W3CDTF">2022-09-08T13:26:00Z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1;#Unclassified|f33d2cd0-30e5-4f10-8d2a-4027eb6837f4</vt:lpwstr>
  </property>
  <property fmtid="{D5CDD505-2E9C-101B-9397-08002B2CF9AE}" pid="3" name="_dlc_policyId">
    <vt:lpwstr/>
  </property>
  <property fmtid="{D5CDD505-2E9C-101B-9397-08002B2CF9AE}" pid="4" name="eDocs_Year">
    <vt:lpwstr>5;#2019|51a8ae8d-390f-42d9-8d51-fd376a685e3b</vt:lpwstr>
  </property>
  <property fmtid="{D5CDD505-2E9C-101B-9397-08002B2CF9AE}" pid="5" name="ContentTypeId">
    <vt:lpwstr>0x0101000BC94875665D404BB1351B53C41FD2C0008933196ED14F4048B3922DDDF7475129</vt:lpwstr>
  </property>
  <property fmtid="{D5CDD505-2E9C-101B-9397-08002B2CF9AE}" pid="6" name="eDocs_SeriesSubSeries">
    <vt:lpwstr>4;#002|2a5ec3ac-f7ce-47eb-99fc-e0afe62279d4</vt:lpwstr>
  </property>
  <property fmtid="{D5CDD505-2E9C-101B-9397-08002B2CF9AE}" pid="7" name="eDocs_FileTopics">
    <vt:lpwstr>2;#UMPFP|745edc58-05fa-4a94-bfee-52990c3d9f65</vt:lpwstr>
  </property>
  <property fmtid="{D5CDD505-2E9C-101B-9397-08002B2CF9AE}" pid="8" name="ItemRetentionFormula">
    <vt:lpwstr/>
  </property>
</Properties>
</file>